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7570" w14:textId="77777777" w:rsidR="00850E3F" w:rsidRDefault="00850E3F" w:rsidP="002E4ABE">
      <w:pPr>
        <w:ind w:left="1800" w:right="72" w:firstLine="720"/>
        <w:jc w:val="both"/>
        <w:rPr>
          <w:rFonts w:ascii="Garamond" w:hAnsi="Garamond"/>
          <w:b/>
          <w:color w:val="000080"/>
          <w:sz w:val="28"/>
          <w:szCs w:val="28"/>
        </w:rPr>
      </w:pPr>
    </w:p>
    <w:p w14:paraId="35C41AFC" w14:textId="77777777" w:rsidR="000D5776" w:rsidRDefault="000D5776" w:rsidP="002E4ABE">
      <w:pPr>
        <w:ind w:left="1800" w:right="72" w:firstLine="720"/>
        <w:jc w:val="both"/>
        <w:rPr>
          <w:rFonts w:ascii="Garamond" w:hAnsi="Garamond"/>
          <w:b/>
          <w:color w:val="000080"/>
          <w:sz w:val="28"/>
          <w:szCs w:val="28"/>
        </w:rPr>
      </w:pPr>
    </w:p>
    <w:p w14:paraId="3F4C1275" w14:textId="77777777" w:rsidR="000D5776" w:rsidRDefault="000D5776" w:rsidP="002E4ABE">
      <w:pPr>
        <w:ind w:left="1800" w:right="72" w:firstLine="720"/>
        <w:jc w:val="both"/>
        <w:rPr>
          <w:rFonts w:ascii="Garamond" w:hAnsi="Garamond"/>
          <w:b/>
          <w:color w:val="000080"/>
          <w:sz w:val="28"/>
          <w:szCs w:val="28"/>
        </w:rPr>
      </w:pPr>
    </w:p>
    <w:p w14:paraId="646CF555" w14:textId="77777777" w:rsidR="000D5776" w:rsidRDefault="000D5776" w:rsidP="002E4ABE">
      <w:pPr>
        <w:ind w:left="1800" w:right="72" w:firstLine="720"/>
        <w:jc w:val="both"/>
        <w:rPr>
          <w:rFonts w:ascii="Garamond" w:hAnsi="Garamond"/>
          <w:b/>
          <w:color w:val="000080"/>
          <w:sz w:val="28"/>
          <w:szCs w:val="28"/>
        </w:rPr>
      </w:pPr>
    </w:p>
    <w:p w14:paraId="430CAE1F" w14:textId="77777777" w:rsidR="0089084D" w:rsidRPr="004B11CF" w:rsidRDefault="0089084D" w:rsidP="0089084D">
      <w:pPr>
        <w:tabs>
          <w:tab w:val="left" w:pos="567"/>
        </w:tabs>
        <w:jc w:val="center"/>
        <w:rPr>
          <w:b/>
          <w:sz w:val="44"/>
          <w:szCs w:val="44"/>
        </w:rPr>
      </w:pPr>
      <w:r w:rsidRPr="004B11CF">
        <w:rPr>
          <w:b/>
          <w:sz w:val="44"/>
          <w:szCs w:val="44"/>
        </w:rPr>
        <w:t xml:space="preserve">YÜKSEKÖĞRETİM KURULU </w:t>
      </w:r>
    </w:p>
    <w:p w14:paraId="5880B8D9" w14:textId="77777777" w:rsidR="0089084D" w:rsidRDefault="0089084D" w:rsidP="0089084D">
      <w:pPr>
        <w:tabs>
          <w:tab w:val="left" w:pos="567"/>
        </w:tabs>
        <w:jc w:val="center"/>
        <w:rPr>
          <w:b/>
          <w:sz w:val="36"/>
          <w:szCs w:val="36"/>
        </w:rPr>
      </w:pPr>
      <w:r w:rsidRPr="004B11CF">
        <w:rPr>
          <w:b/>
          <w:sz w:val="36"/>
          <w:szCs w:val="36"/>
        </w:rPr>
        <w:t>20</w:t>
      </w:r>
      <w:r w:rsidR="00853CCC">
        <w:rPr>
          <w:b/>
          <w:sz w:val="36"/>
          <w:szCs w:val="36"/>
        </w:rPr>
        <w:t>10</w:t>
      </w:r>
      <w:r w:rsidRPr="004B11CF">
        <w:rPr>
          <w:b/>
          <w:sz w:val="36"/>
          <w:szCs w:val="36"/>
        </w:rPr>
        <w:t xml:space="preserve"> YILI KURUMSAL MALİ DURUM VE BEKLENTİLER RAPORU</w:t>
      </w:r>
    </w:p>
    <w:p w14:paraId="5D4031A6" w14:textId="77777777" w:rsidR="00FD4C3E" w:rsidRDefault="00FD4C3E" w:rsidP="00FD4C3E">
      <w:pPr>
        <w:ind w:left="1800" w:right="72" w:firstLine="720"/>
        <w:jc w:val="both"/>
        <w:rPr>
          <w:rFonts w:ascii="Garamond" w:hAnsi="Garamond"/>
          <w:b/>
          <w:color w:val="000080"/>
          <w:sz w:val="28"/>
          <w:szCs w:val="28"/>
        </w:rPr>
      </w:pPr>
    </w:p>
    <w:p w14:paraId="02BD9ED3" w14:textId="77777777" w:rsidR="00FD4C3E" w:rsidRDefault="00FD4C3E" w:rsidP="00FD4C3E">
      <w:pPr>
        <w:ind w:left="1800" w:right="72" w:firstLine="720"/>
        <w:jc w:val="both"/>
        <w:rPr>
          <w:rFonts w:ascii="Garamond" w:hAnsi="Garamond"/>
          <w:b/>
          <w:color w:val="000080"/>
          <w:sz w:val="28"/>
          <w:szCs w:val="28"/>
        </w:rPr>
      </w:pPr>
    </w:p>
    <w:p w14:paraId="3F82BF3F" w14:textId="77777777" w:rsidR="00FD4C3E" w:rsidRPr="001B06F4" w:rsidRDefault="00FD4C3E" w:rsidP="00FD4C3E">
      <w:pPr>
        <w:ind w:left="1800" w:right="72" w:firstLine="720"/>
        <w:jc w:val="both"/>
        <w:rPr>
          <w:rFonts w:ascii="Garamond" w:hAnsi="Garamond"/>
          <w:b/>
          <w:sz w:val="28"/>
          <w:szCs w:val="28"/>
        </w:rPr>
      </w:pPr>
    </w:p>
    <w:p w14:paraId="15EFAF61" w14:textId="77777777" w:rsidR="009A74F0" w:rsidRDefault="009A74F0" w:rsidP="001B06F4">
      <w:pPr>
        <w:ind w:left="851" w:right="567" w:firstLine="283"/>
        <w:jc w:val="both"/>
        <w:rPr>
          <w:rFonts w:ascii="Garamond" w:hAnsi="Garamond"/>
          <w:b/>
          <w:sz w:val="28"/>
          <w:szCs w:val="28"/>
        </w:rPr>
      </w:pPr>
      <w:r w:rsidRPr="001B06F4">
        <w:rPr>
          <w:rFonts w:ascii="Garamond" w:hAnsi="Garamond"/>
          <w:b/>
          <w:sz w:val="28"/>
          <w:szCs w:val="28"/>
        </w:rPr>
        <w:t>5018 sayılı Kamu Mali Y</w:t>
      </w:r>
      <w:r w:rsidR="003F533E" w:rsidRPr="001B06F4">
        <w:rPr>
          <w:rFonts w:ascii="Garamond" w:hAnsi="Garamond"/>
          <w:b/>
          <w:sz w:val="28"/>
          <w:szCs w:val="28"/>
        </w:rPr>
        <w:t xml:space="preserve">önetimi ve Kontrol Kanununun 30 </w:t>
      </w:r>
      <w:r w:rsidRPr="001B06F4">
        <w:rPr>
          <w:rFonts w:ascii="Garamond" w:hAnsi="Garamond"/>
          <w:b/>
          <w:sz w:val="28"/>
          <w:szCs w:val="28"/>
        </w:rPr>
        <w:t xml:space="preserve">uncu maddesinde, genel yönetim kapsamındaki idarelerin, ilk altı aylık bütçe uygulama sonuçları, ikinci altı aya ilişkin beklentiler ve hedefler ile faaliyetlerini Temmuz ayı içinde kamuoyuna açıklayacakları hükme bağlanmıştır. </w:t>
      </w:r>
    </w:p>
    <w:p w14:paraId="2727DE67" w14:textId="77777777" w:rsidR="001B06F4" w:rsidRPr="001B06F4" w:rsidRDefault="001B06F4" w:rsidP="001B06F4">
      <w:pPr>
        <w:ind w:left="851" w:right="567"/>
        <w:jc w:val="both"/>
        <w:rPr>
          <w:rFonts w:ascii="Garamond" w:hAnsi="Garamond"/>
          <w:b/>
          <w:sz w:val="28"/>
          <w:szCs w:val="28"/>
        </w:rPr>
      </w:pPr>
    </w:p>
    <w:p w14:paraId="3F8BD7CE" w14:textId="77777777" w:rsidR="00EE0C53" w:rsidRDefault="001B06F4" w:rsidP="001B06F4">
      <w:pPr>
        <w:ind w:left="851" w:right="567" w:firstLine="283"/>
        <w:jc w:val="both"/>
        <w:rPr>
          <w:rFonts w:ascii="Garamond" w:hAnsi="Garamond"/>
          <w:b/>
          <w:sz w:val="28"/>
          <w:szCs w:val="28"/>
        </w:rPr>
      </w:pPr>
      <w:r>
        <w:rPr>
          <w:rFonts w:ascii="Garamond" w:hAnsi="Garamond"/>
          <w:b/>
          <w:sz w:val="28"/>
          <w:szCs w:val="28"/>
        </w:rPr>
        <w:t xml:space="preserve">Sözkonusu </w:t>
      </w:r>
      <w:r w:rsidR="00EE0C53" w:rsidRPr="001B06F4">
        <w:rPr>
          <w:rFonts w:ascii="Garamond" w:hAnsi="Garamond"/>
          <w:b/>
          <w:sz w:val="28"/>
          <w:szCs w:val="28"/>
        </w:rPr>
        <w:t>düzenleme</w:t>
      </w:r>
      <w:r w:rsidR="00F80379" w:rsidRPr="001B06F4">
        <w:rPr>
          <w:rFonts w:ascii="Garamond" w:hAnsi="Garamond"/>
          <w:b/>
          <w:sz w:val="28"/>
          <w:szCs w:val="28"/>
        </w:rPr>
        <w:t xml:space="preserve"> ile</w:t>
      </w:r>
      <w:r w:rsidR="00EE0C53" w:rsidRPr="001B06F4">
        <w:rPr>
          <w:rFonts w:ascii="Garamond" w:hAnsi="Garamond"/>
          <w:b/>
          <w:sz w:val="28"/>
          <w:szCs w:val="28"/>
        </w:rPr>
        <w:t>, k</w:t>
      </w:r>
      <w:r w:rsidR="009A74F0" w:rsidRPr="001B06F4">
        <w:rPr>
          <w:rFonts w:ascii="Garamond" w:hAnsi="Garamond"/>
          <w:b/>
          <w:sz w:val="28"/>
          <w:szCs w:val="28"/>
        </w:rPr>
        <w:t xml:space="preserve">amu hizmetlerinin yürütülmesinde ve bütçe uygulamalarında saydamlığın ve hesap verilebilirliğin artırılması </w:t>
      </w:r>
      <w:r w:rsidR="00F80379" w:rsidRPr="001B06F4">
        <w:rPr>
          <w:rFonts w:ascii="Garamond" w:hAnsi="Garamond"/>
          <w:b/>
          <w:sz w:val="28"/>
          <w:szCs w:val="28"/>
        </w:rPr>
        <w:t>ve</w:t>
      </w:r>
      <w:r w:rsidR="009A74F0" w:rsidRPr="001B06F4">
        <w:rPr>
          <w:rFonts w:ascii="Garamond" w:hAnsi="Garamond"/>
          <w:b/>
          <w:sz w:val="28"/>
          <w:szCs w:val="28"/>
        </w:rPr>
        <w:t xml:space="preserve"> kamuoyunun kamu idareleri üzerindeki genel denetim ve gözetim fonksiyonunun gereği şekilde gerçekleştirilmesini</w:t>
      </w:r>
      <w:r w:rsidR="00674BE8" w:rsidRPr="001B06F4">
        <w:rPr>
          <w:rFonts w:ascii="Garamond" w:hAnsi="Garamond"/>
          <w:b/>
          <w:sz w:val="28"/>
          <w:szCs w:val="28"/>
        </w:rPr>
        <w:t>n</w:t>
      </w:r>
      <w:r w:rsidR="009A74F0" w:rsidRPr="001B06F4">
        <w:rPr>
          <w:rFonts w:ascii="Garamond" w:hAnsi="Garamond"/>
          <w:b/>
          <w:sz w:val="28"/>
          <w:szCs w:val="28"/>
        </w:rPr>
        <w:t xml:space="preserve"> sağla</w:t>
      </w:r>
      <w:r w:rsidR="00674BE8" w:rsidRPr="001B06F4">
        <w:rPr>
          <w:rFonts w:ascii="Garamond" w:hAnsi="Garamond"/>
          <w:b/>
          <w:sz w:val="28"/>
          <w:szCs w:val="28"/>
        </w:rPr>
        <w:t xml:space="preserve">nması </w:t>
      </w:r>
      <w:r w:rsidR="00EE0C53" w:rsidRPr="001B06F4">
        <w:rPr>
          <w:rFonts w:ascii="Garamond" w:hAnsi="Garamond"/>
          <w:b/>
          <w:sz w:val="28"/>
          <w:szCs w:val="28"/>
        </w:rPr>
        <w:t>amaçlanmıştır.</w:t>
      </w:r>
    </w:p>
    <w:p w14:paraId="72E2D120" w14:textId="77777777" w:rsidR="001B06F4" w:rsidRPr="001B06F4" w:rsidRDefault="001B06F4" w:rsidP="001B06F4">
      <w:pPr>
        <w:ind w:left="851" w:right="567"/>
        <w:jc w:val="both"/>
        <w:rPr>
          <w:rFonts w:ascii="Garamond" w:hAnsi="Garamond"/>
          <w:b/>
          <w:sz w:val="28"/>
          <w:szCs w:val="28"/>
        </w:rPr>
      </w:pPr>
    </w:p>
    <w:p w14:paraId="027DA9EC" w14:textId="77777777" w:rsidR="009A74F0" w:rsidRPr="001B06F4" w:rsidRDefault="00EE0C53" w:rsidP="001B06F4">
      <w:pPr>
        <w:ind w:left="851" w:right="567" w:firstLine="283"/>
        <w:jc w:val="both"/>
        <w:rPr>
          <w:rFonts w:ascii="Garamond" w:hAnsi="Garamond"/>
          <w:b/>
          <w:sz w:val="28"/>
          <w:szCs w:val="28"/>
        </w:rPr>
      </w:pPr>
      <w:r w:rsidRPr="001B06F4">
        <w:rPr>
          <w:rFonts w:ascii="Garamond" w:hAnsi="Garamond"/>
          <w:b/>
          <w:sz w:val="28"/>
          <w:szCs w:val="28"/>
        </w:rPr>
        <w:t>Bu amaç doğrultusunda, g</w:t>
      </w:r>
      <w:r w:rsidR="00D866D4" w:rsidRPr="001B06F4">
        <w:rPr>
          <w:rFonts w:ascii="Garamond" w:hAnsi="Garamond"/>
          <w:b/>
          <w:sz w:val="28"/>
          <w:szCs w:val="28"/>
        </w:rPr>
        <w:t>enel bütçe kapsamındaki kamu idareleri arasında yer alan Başkanlığımız</w:t>
      </w:r>
      <w:r w:rsidRPr="001B06F4">
        <w:rPr>
          <w:rFonts w:ascii="Garamond" w:hAnsi="Garamond"/>
          <w:b/>
          <w:sz w:val="28"/>
          <w:szCs w:val="28"/>
        </w:rPr>
        <w:t>ca</w:t>
      </w:r>
      <w:r w:rsidR="00D866D4" w:rsidRPr="001B06F4">
        <w:rPr>
          <w:rFonts w:ascii="Garamond" w:hAnsi="Garamond"/>
          <w:b/>
          <w:sz w:val="28"/>
          <w:szCs w:val="28"/>
        </w:rPr>
        <w:t xml:space="preserve">, </w:t>
      </w:r>
      <w:r w:rsidR="00AA417E" w:rsidRPr="001B06F4">
        <w:rPr>
          <w:rFonts w:ascii="Garamond" w:hAnsi="Garamond"/>
          <w:b/>
          <w:sz w:val="28"/>
          <w:szCs w:val="28"/>
        </w:rPr>
        <w:t xml:space="preserve">yılın ilk altı aylık dönemine ilişkin bütçe uygulamaları, ikinci altı aya ilişkin beklentiler ve hedefler ile faaliyetlerinin yer aldığı </w:t>
      </w:r>
      <w:r w:rsidR="00D866D4" w:rsidRPr="001B06F4">
        <w:rPr>
          <w:rFonts w:ascii="Garamond" w:hAnsi="Garamond"/>
          <w:b/>
          <w:sz w:val="28"/>
          <w:szCs w:val="28"/>
        </w:rPr>
        <w:t>kapsamlı bir rapor oluştur</w:t>
      </w:r>
      <w:r w:rsidRPr="001B06F4">
        <w:rPr>
          <w:rFonts w:ascii="Garamond" w:hAnsi="Garamond"/>
          <w:b/>
          <w:sz w:val="28"/>
          <w:szCs w:val="28"/>
        </w:rPr>
        <w:t>ul</w:t>
      </w:r>
      <w:r w:rsidR="00D866D4" w:rsidRPr="001B06F4">
        <w:rPr>
          <w:rFonts w:ascii="Garamond" w:hAnsi="Garamond"/>
          <w:b/>
          <w:sz w:val="28"/>
          <w:szCs w:val="28"/>
        </w:rPr>
        <w:t>muş ve hazırlanan “</w:t>
      </w:r>
      <w:r w:rsidR="00961E9B" w:rsidRPr="001B06F4">
        <w:rPr>
          <w:rFonts w:ascii="Garamond" w:hAnsi="Garamond"/>
          <w:b/>
          <w:sz w:val="28"/>
          <w:szCs w:val="28"/>
        </w:rPr>
        <w:t>2010</w:t>
      </w:r>
      <w:r w:rsidR="00384D9A" w:rsidRPr="001B06F4">
        <w:rPr>
          <w:rFonts w:ascii="Garamond" w:hAnsi="Garamond"/>
          <w:b/>
          <w:sz w:val="28"/>
          <w:szCs w:val="28"/>
        </w:rPr>
        <w:t xml:space="preserve"> Yılı Kurumsal Mali Durum ve Beklentiler Raporu</w:t>
      </w:r>
      <w:r w:rsidR="00D866D4" w:rsidRPr="001B06F4">
        <w:rPr>
          <w:rFonts w:ascii="Garamond" w:hAnsi="Garamond"/>
          <w:b/>
          <w:sz w:val="28"/>
          <w:szCs w:val="28"/>
        </w:rPr>
        <w:t>” ekleriyle birlikte k</w:t>
      </w:r>
      <w:r w:rsidR="009A74F0" w:rsidRPr="001B06F4">
        <w:rPr>
          <w:rFonts w:ascii="Garamond" w:hAnsi="Garamond"/>
          <w:b/>
          <w:sz w:val="28"/>
          <w:szCs w:val="28"/>
        </w:rPr>
        <w:t>amuoyunun bilgisine sun</w:t>
      </w:r>
      <w:r w:rsidR="00F12CEA" w:rsidRPr="001B06F4">
        <w:rPr>
          <w:rFonts w:ascii="Garamond" w:hAnsi="Garamond"/>
          <w:b/>
          <w:sz w:val="28"/>
          <w:szCs w:val="28"/>
        </w:rPr>
        <w:t>ul</w:t>
      </w:r>
      <w:r w:rsidR="009A74F0" w:rsidRPr="001B06F4">
        <w:rPr>
          <w:rFonts w:ascii="Garamond" w:hAnsi="Garamond"/>
          <w:b/>
          <w:sz w:val="28"/>
          <w:szCs w:val="28"/>
        </w:rPr>
        <w:t xml:space="preserve">muştur. </w:t>
      </w:r>
    </w:p>
    <w:p w14:paraId="29EC686D" w14:textId="77777777" w:rsidR="003F533E" w:rsidRDefault="003F533E" w:rsidP="00C05A15">
      <w:pPr>
        <w:jc w:val="both"/>
        <w:rPr>
          <w:color w:val="333399"/>
          <w:sz w:val="28"/>
          <w:szCs w:val="28"/>
        </w:rPr>
      </w:pPr>
    </w:p>
    <w:p w14:paraId="6D6EDF16" w14:textId="77777777" w:rsidR="00E67545" w:rsidRDefault="00E67545" w:rsidP="00C05A15">
      <w:pPr>
        <w:jc w:val="both"/>
        <w:rPr>
          <w:color w:val="333399"/>
          <w:sz w:val="28"/>
          <w:szCs w:val="28"/>
        </w:rPr>
      </w:pPr>
    </w:p>
    <w:p w14:paraId="51713664" w14:textId="77777777" w:rsidR="00E67545" w:rsidRDefault="00E67545" w:rsidP="00C05A15">
      <w:pPr>
        <w:jc w:val="both"/>
        <w:rPr>
          <w:color w:val="333399"/>
          <w:sz w:val="28"/>
          <w:szCs w:val="28"/>
        </w:rPr>
      </w:pPr>
    </w:p>
    <w:p w14:paraId="7F408DA4" w14:textId="77777777" w:rsidR="00E67545" w:rsidRDefault="00E67545" w:rsidP="00C05A15">
      <w:pPr>
        <w:jc w:val="both"/>
        <w:rPr>
          <w:color w:val="333399"/>
          <w:sz w:val="28"/>
          <w:szCs w:val="28"/>
        </w:rPr>
      </w:pPr>
    </w:p>
    <w:p w14:paraId="6A86BB52" w14:textId="77777777" w:rsidR="00E67545" w:rsidRDefault="00E67545" w:rsidP="00C05A15">
      <w:pPr>
        <w:jc w:val="both"/>
        <w:rPr>
          <w:color w:val="333399"/>
          <w:sz w:val="28"/>
          <w:szCs w:val="28"/>
        </w:rPr>
      </w:pPr>
    </w:p>
    <w:p w14:paraId="4DCD249C" w14:textId="77777777" w:rsidR="00E67545" w:rsidRDefault="00E67545" w:rsidP="00C05A15">
      <w:pPr>
        <w:jc w:val="both"/>
        <w:rPr>
          <w:color w:val="333399"/>
          <w:sz w:val="28"/>
          <w:szCs w:val="28"/>
        </w:rPr>
      </w:pPr>
    </w:p>
    <w:p w14:paraId="52025D1F" w14:textId="77777777" w:rsidR="00E67545" w:rsidRDefault="00E67545" w:rsidP="00C05A15">
      <w:pPr>
        <w:jc w:val="both"/>
        <w:rPr>
          <w:color w:val="333399"/>
          <w:sz w:val="28"/>
          <w:szCs w:val="28"/>
        </w:rPr>
      </w:pPr>
    </w:p>
    <w:p w14:paraId="3FBB500B" w14:textId="77777777" w:rsidR="00E67545" w:rsidRDefault="00E67545" w:rsidP="00C05A15">
      <w:pPr>
        <w:jc w:val="both"/>
        <w:rPr>
          <w:color w:val="333399"/>
          <w:sz w:val="28"/>
          <w:szCs w:val="28"/>
        </w:rPr>
      </w:pPr>
    </w:p>
    <w:p w14:paraId="0FFA9169" w14:textId="77777777" w:rsidR="00E67545" w:rsidRDefault="00E67545" w:rsidP="00C05A15">
      <w:pPr>
        <w:jc w:val="both"/>
        <w:rPr>
          <w:color w:val="333399"/>
          <w:sz w:val="28"/>
          <w:szCs w:val="28"/>
        </w:rPr>
      </w:pPr>
    </w:p>
    <w:p w14:paraId="1AA933B3" w14:textId="77777777" w:rsidR="00E67545" w:rsidRDefault="00E67545" w:rsidP="00C05A15">
      <w:pPr>
        <w:jc w:val="both"/>
        <w:rPr>
          <w:color w:val="333399"/>
          <w:sz w:val="28"/>
          <w:szCs w:val="28"/>
        </w:rPr>
      </w:pPr>
    </w:p>
    <w:p w14:paraId="68312999" w14:textId="77777777" w:rsidR="00E67545" w:rsidRDefault="00E67545" w:rsidP="00C05A15">
      <w:pPr>
        <w:jc w:val="both"/>
        <w:rPr>
          <w:color w:val="333399"/>
          <w:sz w:val="28"/>
          <w:szCs w:val="28"/>
        </w:rPr>
      </w:pPr>
    </w:p>
    <w:p w14:paraId="4115CF0A" w14:textId="77777777" w:rsidR="00E67545" w:rsidRDefault="00E67545" w:rsidP="00C05A15">
      <w:pPr>
        <w:jc w:val="both"/>
        <w:rPr>
          <w:color w:val="333399"/>
          <w:sz w:val="28"/>
          <w:szCs w:val="28"/>
        </w:rPr>
      </w:pPr>
    </w:p>
    <w:p w14:paraId="7CB48127" w14:textId="77777777" w:rsidR="00853CCC" w:rsidRDefault="00853CCC" w:rsidP="00C05A15">
      <w:pPr>
        <w:jc w:val="both"/>
        <w:rPr>
          <w:color w:val="333399"/>
          <w:sz w:val="28"/>
          <w:szCs w:val="28"/>
        </w:rPr>
      </w:pPr>
    </w:p>
    <w:p w14:paraId="33CBC328" w14:textId="77777777" w:rsidR="00853CCC" w:rsidRDefault="00853CCC" w:rsidP="00C05A15">
      <w:pPr>
        <w:jc w:val="both"/>
        <w:rPr>
          <w:color w:val="333399"/>
          <w:sz w:val="28"/>
          <w:szCs w:val="28"/>
        </w:rPr>
      </w:pPr>
    </w:p>
    <w:p w14:paraId="2B0AB777" w14:textId="77777777" w:rsidR="00E67545" w:rsidRDefault="00961E9B" w:rsidP="0089084D">
      <w:pPr>
        <w:pStyle w:val="Balk1"/>
        <w:numPr>
          <w:ilvl w:val="0"/>
          <w:numId w:val="1"/>
        </w:numPr>
        <w:ind w:right="139"/>
        <w:rPr>
          <w:sz w:val="28"/>
          <w:szCs w:val="28"/>
        </w:rPr>
      </w:pPr>
      <w:r w:rsidRPr="001B06F4">
        <w:rPr>
          <w:sz w:val="28"/>
          <w:szCs w:val="28"/>
        </w:rPr>
        <w:t>OCAK-HAZİRAN 2010</w:t>
      </w:r>
      <w:r w:rsidR="00E67545" w:rsidRPr="001B06F4">
        <w:rPr>
          <w:sz w:val="28"/>
          <w:szCs w:val="28"/>
        </w:rPr>
        <w:t xml:space="preserve"> DÖNEMİ BÜTÇE UYGULAMA SONUÇLARI</w:t>
      </w:r>
    </w:p>
    <w:p w14:paraId="552D1337" w14:textId="77777777" w:rsidR="00853CCC" w:rsidRDefault="00853CCC" w:rsidP="0089084D">
      <w:pPr>
        <w:tabs>
          <w:tab w:val="left" w:pos="540"/>
        </w:tabs>
        <w:ind w:left="1004"/>
        <w:jc w:val="both"/>
        <w:rPr>
          <w:b/>
          <w:sz w:val="28"/>
          <w:szCs w:val="28"/>
        </w:rPr>
      </w:pPr>
    </w:p>
    <w:p w14:paraId="3D470DA8" w14:textId="77777777" w:rsidR="00853CCC" w:rsidRDefault="00853CCC" w:rsidP="0089084D">
      <w:pPr>
        <w:tabs>
          <w:tab w:val="left" w:pos="540"/>
        </w:tabs>
        <w:ind w:left="1004"/>
        <w:jc w:val="both"/>
        <w:rPr>
          <w:b/>
          <w:sz w:val="28"/>
          <w:szCs w:val="28"/>
        </w:rPr>
      </w:pPr>
    </w:p>
    <w:p w14:paraId="69E3B65A" w14:textId="77777777" w:rsidR="0089084D" w:rsidRPr="00D379CD" w:rsidRDefault="0089084D" w:rsidP="0089084D">
      <w:pPr>
        <w:tabs>
          <w:tab w:val="left" w:pos="540"/>
        </w:tabs>
        <w:ind w:left="1004"/>
        <w:jc w:val="both"/>
        <w:rPr>
          <w:rFonts w:ascii="Garamond" w:hAnsi="Garamond"/>
          <w:b/>
          <w:sz w:val="28"/>
          <w:szCs w:val="28"/>
        </w:rPr>
      </w:pPr>
      <w:r w:rsidRPr="00D379CD">
        <w:rPr>
          <w:rFonts w:ascii="Garamond" w:hAnsi="Garamond"/>
          <w:b/>
          <w:sz w:val="28"/>
          <w:szCs w:val="28"/>
        </w:rPr>
        <w:t xml:space="preserve">A.Bütçe Giderleri </w:t>
      </w:r>
    </w:p>
    <w:p w14:paraId="5FD7901B" w14:textId="77777777" w:rsidR="0089084D" w:rsidRPr="0089084D" w:rsidRDefault="0089084D" w:rsidP="0089084D"/>
    <w:p w14:paraId="6BC04DD9" w14:textId="77777777" w:rsidR="00E67545" w:rsidRPr="001B06F4" w:rsidRDefault="00E67545" w:rsidP="001B06F4">
      <w:pPr>
        <w:spacing w:line="312" w:lineRule="auto"/>
        <w:ind w:right="139" w:hanging="76"/>
        <w:jc w:val="both"/>
        <w:rPr>
          <w:rFonts w:ascii="Garamond" w:hAnsi="Garamond"/>
          <w:bCs/>
          <w:sz w:val="28"/>
          <w:szCs w:val="28"/>
        </w:rPr>
      </w:pPr>
    </w:p>
    <w:p w14:paraId="4B776934" w14:textId="77777777" w:rsidR="00E67545" w:rsidRDefault="001B06F4" w:rsidP="001B06F4">
      <w:pPr>
        <w:spacing w:line="312" w:lineRule="auto"/>
        <w:ind w:right="139" w:hanging="76"/>
        <w:jc w:val="both"/>
        <w:rPr>
          <w:rFonts w:ascii="Garamond" w:hAnsi="Garamond"/>
          <w:sz w:val="28"/>
          <w:szCs w:val="28"/>
        </w:rPr>
      </w:pPr>
      <w:r>
        <w:rPr>
          <w:rFonts w:ascii="Garamond" w:hAnsi="Garamond"/>
          <w:bCs/>
          <w:sz w:val="28"/>
          <w:szCs w:val="28"/>
        </w:rPr>
        <w:t xml:space="preserve"> </w:t>
      </w:r>
      <w:r w:rsidR="00853CCC">
        <w:rPr>
          <w:rFonts w:ascii="Garamond" w:hAnsi="Garamond"/>
          <w:bCs/>
          <w:sz w:val="28"/>
          <w:szCs w:val="28"/>
        </w:rPr>
        <w:tab/>
      </w:r>
      <w:r w:rsidR="00853CCC">
        <w:rPr>
          <w:rFonts w:ascii="Garamond" w:hAnsi="Garamond"/>
          <w:bCs/>
          <w:sz w:val="28"/>
          <w:szCs w:val="28"/>
        </w:rPr>
        <w:tab/>
      </w:r>
      <w:r w:rsidR="00E67545" w:rsidRPr="001B06F4">
        <w:rPr>
          <w:rFonts w:ascii="Garamond" w:hAnsi="Garamond"/>
          <w:bCs/>
          <w:sz w:val="28"/>
          <w:szCs w:val="28"/>
        </w:rPr>
        <w:t xml:space="preserve">Bilindiği üzere, </w:t>
      </w:r>
      <w:r w:rsidR="00E67545" w:rsidRPr="001B06F4">
        <w:rPr>
          <w:rFonts w:ascii="Garamond" w:hAnsi="Garamond"/>
          <w:sz w:val="28"/>
          <w:szCs w:val="28"/>
        </w:rPr>
        <w:t>20</w:t>
      </w:r>
      <w:r w:rsidR="00961E9B" w:rsidRPr="001B06F4">
        <w:rPr>
          <w:rFonts w:ascii="Garamond" w:hAnsi="Garamond"/>
          <w:sz w:val="28"/>
          <w:szCs w:val="28"/>
        </w:rPr>
        <w:t>10</w:t>
      </w:r>
      <w:r w:rsidR="00E67545" w:rsidRPr="001B06F4">
        <w:rPr>
          <w:rFonts w:ascii="Garamond" w:hAnsi="Garamond"/>
          <w:sz w:val="28"/>
          <w:szCs w:val="28"/>
        </w:rPr>
        <w:t xml:space="preserve"> yılı Merkezi Yönetim Bütçe Kanunu </w:t>
      </w:r>
      <w:r w:rsidR="00C510A7" w:rsidRPr="001B06F4">
        <w:rPr>
          <w:rFonts w:ascii="Garamond" w:hAnsi="Garamond"/>
          <w:sz w:val="28"/>
          <w:szCs w:val="28"/>
        </w:rPr>
        <w:t>31 Aralık 200</w:t>
      </w:r>
      <w:r w:rsidR="00961E9B" w:rsidRPr="001B06F4">
        <w:rPr>
          <w:rFonts w:ascii="Garamond" w:hAnsi="Garamond"/>
          <w:sz w:val="28"/>
          <w:szCs w:val="28"/>
        </w:rPr>
        <w:t>9</w:t>
      </w:r>
      <w:r w:rsidR="00E67545" w:rsidRPr="001B06F4">
        <w:rPr>
          <w:rFonts w:ascii="Garamond" w:hAnsi="Garamond"/>
          <w:sz w:val="28"/>
          <w:szCs w:val="28"/>
        </w:rPr>
        <w:t xml:space="preserve"> tarih ve 2</w:t>
      </w:r>
      <w:r w:rsidR="00C510A7" w:rsidRPr="001B06F4">
        <w:rPr>
          <w:rFonts w:ascii="Garamond" w:hAnsi="Garamond"/>
          <w:sz w:val="28"/>
          <w:szCs w:val="28"/>
        </w:rPr>
        <w:t>7</w:t>
      </w:r>
      <w:r w:rsidR="00961E9B" w:rsidRPr="001B06F4">
        <w:rPr>
          <w:rFonts w:ascii="Garamond" w:hAnsi="Garamond"/>
          <w:sz w:val="28"/>
          <w:szCs w:val="28"/>
        </w:rPr>
        <w:t>449</w:t>
      </w:r>
      <w:r w:rsidR="00E67545" w:rsidRPr="001B06F4">
        <w:rPr>
          <w:rFonts w:ascii="Garamond" w:hAnsi="Garamond"/>
          <w:sz w:val="28"/>
          <w:szCs w:val="28"/>
        </w:rPr>
        <w:t xml:space="preserve"> Mükerrer </w:t>
      </w:r>
      <w:r w:rsidR="00961E9B" w:rsidRPr="001B06F4">
        <w:rPr>
          <w:rFonts w:ascii="Garamond" w:hAnsi="Garamond"/>
          <w:sz w:val="28"/>
          <w:szCs w:val="28"/>
        </w:rPr>
        <w:t xml:space="preserve">sayılı </w:t>
      </w:r>
      <w:r w:rsidR="00E67545" w:rsidRPr="001B06F4">
        <w:rPr>
          <w:rFonts w:ascii="Garamond" w:hAnsi="Garamond"/>
          <w:sz w:val="28"/>
          <w:szCs w:val="28"/>
        </w:rPr>
        <w:t>Resmi Gazetede yayımlanarak 01.01.20</w:t>
      </w:r>
      <w:r w:rsidR="00961E9B" w:rsidRPr="001B06F4">
        <w:rPr>
          <w:rFonts w:ascii="Garamond" w:hAnsi="Garamond"/>
          <w:sz w:val="28"/>
          <w:szCs w:val="28"/>
        </w:rPr>
        <w:t>10</w:t>
      </w:r>
      <w:r w:rsidR="00E67545" w:rsidRPr="001B06F4">
        <w:rPr>
          <w:rFonts w:ascii="Garamond" w:hAnsi="Garamond"/>
          <w:sz w:val="28"/>
          <w:szCs w:val="28"/>
        </w:rPr>
        <w:t xml:space="preserve"> tarihinden itibaren yürürlüğe girmiştir. </w:t>
      </w:r>
    </w:p>
    <w:p w14:paraId="3F0BD4F8" w14:textId="77777777" w:rsidR="00853CCC" w:rsidRPr="001B06F4" w:rsidRDefault="00853CCC" w:rsidP="001B06F4">
      <w:pPr>
        <w:spacing w:line="312" w:lineRule="auto"/>
        <w:ind w:right="139" w:hanging="76"/>
        <w:jc w:val="both"/>
        <w:rPr>
          <w:rFonts w:ascii="Garamond" w:hAnsi="Garamond"/>
          <w:sz w:val="28"/>
          <w:szCs w:val="28"/>
        </w:rPr>
      </w:pPr>
    </w:p>
    <w:p w14:paraId="43F60935" w14:textId="77777777" w:rsidR="00E67545" w:rsidRDefault="001B06F4" w:rsidP="001B06F4">
      <w:pPr>
        <w:spacing w:line="312" w:lineRule="auto"/>
        <w:ind w:right="139" w:hanging="76"/>
        <w:jc w:val="both"/>
        <w:rPr>
          <w:rFonts w:ascii="Garamond" w:hAnsi="Garamond"/>
          <w:sz w:val="28"/>
          <w:szCs w:val="28"/>
        </w:rPr>
      </w:pPr>
      <w:r>
        <w:rPr>
          <w:rFonts w:ascii="Garamond" w:hAnsi="Garamond"/>
          <w:sz w:val="28"/>
          <w:szCs w:val="28"/>
        </w:rPr>
        <w:t xml:space="preserve"> </w:t>
      </w:r>
      <w:r w:rsidR="00853CCC">
        <w:rPr>
          <w:rFonts w:ascii="Garamond" w:hAnsi="Garamond"/>
          <w:sz w:val="28"/>
          <w:szCs w:val="28"/>
        </w:rPr>
        <w:tab/>
      </w:r>
      <w:r w:rsidR="00853CCC">
        <w:rPr>
          <w:rFonts w:ascii="Garamond" w:hAnsi="Garamond"/>
          <w:sz w:val="28"/>
          <w:szCs w:val="28"/>
        </w:rPr>
        <w:tab/>
      </w:r>
      <w:r>
        <w:rPr>
          <w:rFonts w:ascii="Garamond" w:hAnsi="Garamond"/>
          <w:sz w:val="28"/>
          <w:szCs w:val="28"/>
        </w:rPr>
        <w:t xml:space="preserve">Yükseköğretim Kurulu </w:t>
      </w:r>
      <w:r w:rsidR="00E67545" w:rsidRPr="001B06F4">
        <w:rPr>
          <w:rFonts w:ascii="Garamond" w:hAnsi="Garamond"/>
          <w:sz w:val="28"/>
          <w:szCs w:val="28"/>
        </w:rPr>
        <w:t>Başkanlığına Merkezi Yönetim Bütçe Kanunu ile 20</w:t>
      </w:r>
      <w:r w:rsidR="00961E9B" w:rsidRPr="001B06F4">
        <w:rPr>
          <w:rFonts w:ascii="Garamond" w:hAnsi="Garamond"/>
          <w:sz w:val="28"/>
          <w:szCs w:val="28"/>
        </w:rPr>
        <w:t>10</w:t>
      </w:r>
      <w:r w:rsidR="00E67545" w:rsidRPr="001B06F4">
        <w:rPr>
          <w:rFonts w:ascii="Garamond" w:hAnsi="Garamond"/>
          <w:sz w:val="28"/>
          <w:szCs w:val="28"/>
        </w:rPr>
        <w:t xml:space="preserve"> yılında Personel Giderleri için </w:t>
      </w:r>
      <w:r>
        <w:rPr>
          <w:rFonts w:ascii="Garamond" w:hAnsi="Garamond"/>
          <w:sz w:val="28"/>
          <w:szCs w:val="28"/>
        </w:rPr>
        <w:t>9.106</w:t>
      </w:r>
      <w:r w:rsidR="00E67545" w:rsidRPr="001B06F4">
        <w:rPr>
          <w:rFonts w:ascii="Garamond" w:hAnsi="Garamond"/>
          <w:sz w:val="28"/>
          <w:szCs w:val="28"/>
        </w:rPr>
        <w:t>.</w:t>
      </w:r>
      <w:r>
        <w:rPr>
          <w:rFonts w:ascii="Garamond" w:hAnsi="Garamond"/>
          <w:sz w:val="28"/>
          <w:szCs w:val="28"/>
        </w:rPr>
        <w:t>0</w:t>
      </w:r>
      <w:r w:rsidR="00961E9B" w:rsidRPr="001B06F4">
        <w:rPr>
          <w:rFonts w:ascii="Garamond" w:hAnsi="Garamond"/>
          <w:sz w:val="28"/>
          <w:szCs w:val="28"/>
        </w:rPr>
        <w:t>00</w:t>
      </w:r>
      <w:r w:rsidR="00E67545" w:rsidRPr="001B06F4">
        <w:rPr>
          <w:rFonts w:ascii="Garamond" w:hAnsi="Garamond"/>
          <w:sz w:val="28"/>
          <w:szCs w:val="28"/>
        </w:rPr>
        <w:t xml:space="preserve"> TL., Sosyal Güvenlik Kurumlarına Devlet Primi Giderleri için </w:t>
      </w:r>
      <w:r>
        <w:rPr>
          <w:rFonts w:ascii="Garamond" w:hAnsi="Garamond"/>
          <w:sz w:val="28"/>
          <w:szCs w:val="28"/>
        </w:rPr>
        <w:t>1.636.000</w:t>
      </w:r>
      <w:r w:rsidR="00961E9B" w:rsidRPr="001B06F4">
        <w:rPr>
          <w:rFonts w:ascii="Garamond" w:hAnsi="Garamond"/>
          <w:sz w:val="28"/>
          <w:szCs w:val="28"/>
        </w:rPr>
        <w:t xml:space="preserve"> </w:t>
      </w:r>
      <w:r w:rsidR="00E67545" w:rsidRPr="001B06F4">
        <w:rPr>
          <w:rFonts w:ascii="Garamond" w:hAnsi="Garamond"/>
          <w:sz w:val="28"/>
          <w:szCs w:val="28"/>
        </w:rPr>
        <w:t xml:space="preserve">TL., Mal ve Hizmet Alım Giderleri için </w:t>
      </w:r>
      <w:r>
        <w:rPr>
          <w:rFonts w:ascii="Garamond" w:hAnsi="Garamond"/>
          <w:sz w:val="28"/>
          <w:szCs w:val="28"/>
        </w:rPr>
        <w:t>1.966.000</w:t>
      </w:r>
      <w:r w:rsidR="00E67545" w:rsidRPr="001B06F4">
        <w:rPr>
          <w:rFonts w:ascii="Garamond" w:hAnsi="Garamond"/>
          <w:sz w:val="28"/>
          <w:szCs w:val="28"/>
        </w:rPr>
        <w:t xml:space="preserve"> TL., Cari Transferler için </w:t>
      </w:r>
      <w:r>
        <w:rPr>
          <w:rFonts w:ascii="Garamond" w:hAnsi="Garamond"/>
          <w:sz w:val="28"/>
          <w:szCs w:val="28"/>
        </w:rPr>
        <w:t>2.608.000</w:t>
      </w:r>
      <w:r w:rsidR="00E67545" w:rsidRPr="001B06F4">
        <w:rPr>
          <w:rFonts w:ascii="Garamond" w:hAnsi="Garamond"/>
          <w:sz w:val="28"/>
          <w:szCs w:val="28"/>
        </w:rPr>
        <w:t xml:space="preserve"> TL. ve Sermaye Giderleri için </w:t>
      </w:r>
      <w:r>
        <w:rPr>
          <w:rFonts w:ascii="Garamond" w:hAnsi="Garamond"/>
          <w:sz w:val="28"/>
          <w:szCs w:val="28"/>
        </w:rPr>
        <w:t>3.000</w:t>
      </w:r>
      <w:r w:rsidR="00E67545" w:rsidRPr="001B06F4">
        <w:rPr>
          <w:rFonts w:ascii="Garamond" w:hAnsi="Garamond"/>
          <w:sz w:val="28"/>
          <w:szCs w:val="28"/>
        </w:rPr>
        <w:t xml:space="preserve">.000 TL. olmak üzere toplam </w:t>
      </w:r>
      <w:r>
        <w:rPr>
          <w:rFonts w:ascii="Garamond" w:hAnsi="Garamond"/>
          <w:sz w:val="28"/>
          <w:szCs w:val="28"/>
        </w:rPr>
        <w:t>18.316.000</w:t>
      </w:r>
      <w:r w:rsidR="00E67545" w:rsidRPr="001B06F4">
        <w:rPr>
          <w:rFonts w:ascii="Garamond" w:hAnsi="Garamond"/>
          <w:sz w:val="28"/>
          <w:szCs w:val="28"/>
        </w:rPr>
        <w:t xml:space="preserve"> TL. ödenek tahsis edilmiştir.</w:t>
      </w:r>
    </w:p>
    <w:p w14:paraId="50CC0B4C" w14:textId="77777777" w:rsidR="00853CCC" w:rsidRPr="001B06F4" w:rsidRDefault="00853CCC" w:rsidP="001B06F4">
      <w:pPr>
        <w:spacing w:line="312" w:lineRule="auto"/>
        <w:ind w:right="139" w:hanging="76"/>
        <w:jc w:val="both"/>
        <w:rPr>
          <w:rFonts w:ascii="Garamond" w:hAnsi="Garamond"/>
          <w:sz w:val="28"/>
          <w:szCs w:val="28"/>
        </w:rPr>
      </w:pPr>
    </w:p>
    <w:p w14:paraId="3EDA42AB" w14:textId="77777777" w:rsidR="00E67545" w:rsidRPr="001B06F4" w:rsidRDefault="001B06F4" w:rsidP="001B06F4">
      <w:pPr>
        <w:pStyle w:val="GvdeMetni"/>
        <w:spacing w:line="312" w:lineRule="auto"/>
        <w:ind w:right="139" w:hanging="76"/>
        <w:jc w:val="both"/>
        <w:rPr>
          <w:rFonts w:ascii="Garamond" w:hAnsi="Garamond"/>
          <w:sz w:val="28"/>
          <w:szCs w:val="28"/>
        </w:rPr>
      </w:pPr>
      <w:r>
        <w:rPr>
          <w:rFonts w:ascii="Garamond" w:hAnsi="Garamond"/>
          <w:sz w:val="28"/>
          <w:szCs w:val="28"/>
        </w:rPr>
        <w:t xml:space="preserve"> </w:t>
      </w:r>
      <w:r w:rsidR="00853CCC">
        <w:rPr>
          <w:rFonts w:ascii="Garamond" w:hAnsi="Garamond"/>
          <w:sz w:val="28"/>
          <w:szCs w:val="28"/>
        </w:rPr>
        <w:tab/>
      </w:r>
      <w:r w:rsidR="00853CCC">
        <w:rPr>
          <w:rFonts w:ascii="Garamond" w:hAnsi="Garamond"/>
          <w:sz w:val="28"/>
          <w:szCs w:val="28"/>
        </w:rPr>
        <w:tab/>
      </w:r>
      <w:r>
        <w:rPr>
          <w:rFonts w:ascii="Garamond" w:hAnsi="Garamond"/>
          <w:sz w:val="28"/>
          <w:szCs w:val="28"/>
        </w:rPr>
        <w:t xml:space="preserve">Yükseköğretim Kurulu </w:t>
      </w:r>
      <w:r w:rsidR="00E67545" w:rsidRPr="001B06F4">
        <w:rPr>
          <w:rFonts w:ascii="Garamond" w:hAnsi="Garamond"/>
          <w:sz w:val="28"/>
          <w:szCs w:val="28"/>
        </w:rPr>
        <w:t>Başkanlığının 200</w:t>
      </w:r>
      <w:r w:rsidR="00961E9B" w:rsidRPr="001B06F4">
        <w:rPr>
          <w:rFonts w:ascii="Garamond" w:hAnsi="Garamond"/>
          <w:sz w:val="28"/>
          <w:szCs w:val="28"/>
        </w:rPr>
        <w:t>9</w:t>
      </w:r>
      <w:r w:rsidR="00E67545" w:rsidRPr="001B06F4">
        <w:rPr>
          <w:rFonts w:ascii="Garamond" w:hAnsi="Garamond"/>
          <w:sz w:val="28"/>
          <w:szCs w:val="28"/>
        </w:rPr>
        <w:t xml:space="preserve"> ve 20</w:t>
      </w:r>
      <w:r w:rsidR="00961E9B" w:rsidRPr="001B06F4">
        <w:rPr>
          <w:rFonts w:ascii="Garamond" w:hAnsi="Garamond"/>
          <w:sz w:val="28"/>
          <w:szCs w:val="28"/>
        </w:rPr>
        <w:t>10</w:t>
      </w:r>
      <w:r w:rsidR="00E67545" w:rsidRPr="001B06F4">
        <w:rPr>
          <w:rFonts w:ascii="Garamond" w:hAnsi="Garamond"/>
          <w:sz w:val="28"/>
          <w:szCs w:val="28"/>
        </w:rPr>
        <w:t xml:space="preserve"> yıllarına ilişkin başlangıç bütçe ödeneklerinin, analitik bütçe sistemine uygun gider türleri itibariyle dağılımı ve değişim oranları aşağıdaki grafikte belirtildiği şekildedir.</w:t>
      </w:r>
    </w:p>
    <w:p w14:paraId="563C6EB7" w14:textId="77777777" w:rsidR="00E67545" w:rsidRDefault="00346A11" w:rsidP="00B30F78">
      <w:r>
        <w:t xml:space="preserve"> </w:t>
      </w:r>
    </w:p>
    <w:p w14:paraId="67703F17" w14:textId="2FF66BCB" w:rsidR="009B05E8" w:rsidRDefault="002D667C" w:rsidP="009B05E8">
      <w:pPr>
        <w:pStyle w:val="GvdeMetni"/>
        <w:spacing w:line="312" w:lineRule="auto"/>
        <w:jc w:val="both"/>
        <w:rPr>
          <w:rFonts w:ascii="Garamond" w:hAnsi="Garamond"/>
          <w:color w:val="333399"/>
          <w:sz w:val="28"/>
          <w:szCs w:val="28"/>
        </w:rPr>
      </w:pPr>
      <w:r w:rsidRPr="00780839">
        <w:rPr>
          <w:rFonts w:ascii="Garamond" w:hAnsi="Garamond"/>
          <w:noProof/>
          <w:color w:val="333399"/>
          <w:sz w:val="28"/>
          <w:szCs w:val="28"/>
        </w:rPr>
        <w:lastRenderedPageBreak/>
        <w:drawing>
          <wp:inline distT="0" distB="0" distL="0" distR="0" wp14:anchorId="21B3CA29" wp14:editId="1F0C250F">
            <wp:extent cx="5495925" cy="5191125"/>
            <wp:effectExtent l="0" t="0" r="0" b="0"/>
            <wp:docPr id="1" name="Nesnesi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3142AD" w14:textId="77777777" w:rsidR="00853CCC" w:rsidRDefault="00853CCC" w:rsidP="009B05E8">
      <w:pPr>
        <w:pStyle w:val="GvdeMetni"/>
        <w:spacing w:line="312" w:lineRule="auto"/>
        <w:ind w:firstLine="708"/>
        <w:jc w:val="both"/>
        <w:rPr>
          <w:rFonts w:ascii="Garamond" w:hAnsi="Garamond"/>
          <w:sz w:val="28"/>
          <w:szCs w:val="28"/>
        </w:rPr>
      </w:pPr>
    </w:p>
    <w:p w14:paraId="74D7C135" w14:textId="77777777" w:rsidR="00E67545" w:rsidRPr="00853CCC" w:rsidRDefault="00734C32" w:rsidP="009B05E8">
      <w:pPr>
        <w:pStyle w:val="GvdeMetni"/>
        <w:spacing w:line="312" w:lineRule="auto"/>
        <w:ind w:firstLine="708"/>
        <w:jc w:val="both"/>
        <w:rPr>
          <w:rFonts w:ascii="Garamond" w:hAnsi="Garamond"/>
          <w:b/>
          <w:sz w:val="28"/>
          <w:szCs w:val="28"/>
        </w:rPr>
      </w:pPr>
      <w:r w:rsidRPr="00853CCC">
        <w:rPr>
          <w:rFonts w:ascii="Garamond" w:hAnsi="Garamond"/>
          <w:sz w:val="28"/>
          <w:szCs w:val="28"/>
        </w:rPr>
        <w:t>200</w:t>
      </w:r>
      <w:r w:rsidR="00C6216C" w:rsidRPr="00853CCC">
        <w:rPr>
          <w:rFonts w:ascii="Garamond" w:hAnsi="Garamond"/>
          <w:sz w:val="28"/>
          <w:szCs w:val="28"/>
        </w:rPr>
        <w:t>9</w:t>
      </w:r>
      <w:r w:rsidR="00E67545" w:rsidRPr="00853CCC">
        <w:rPr>
          <w:rFonts w:ascii="Garamond" w:hAnsi="Garamond"/>
          <w:sz w:val="28"/>
          <w:szCs w:val="28"/>
        </w:rPr>
        <w:t xml:space="preserve"> ve 20</w:t>
      </w:r>
      <w:r w:rsidR="00C6216C" w:rsidRPr="00853CCC">
        <w:rPr>
          <w:rFonts w:ascii="Garamond" w:hAnsi="Garamond"/>
          <w:sz w:val="28"/>
          <w:szCs w:val="28"/>
        </w:rPr>
        <w:t>10</w:t>
      </w:r>
      <w:r w:rsidR="00E67545" w:rsidRPr="00853CCC">
        <w:rPr>
          <w:rFonts w:ascii="Garamond" w:hAnsi="Garamond"/>
          <w:sz w:val="28"/>
          <w:szCs w:val="28"/>
        </w:rPr>
        <w:t xml:space="preserve"> Yılları Merkezi Yönetim Bütçe Kanunlarıyla </w:t>
      </w:r>
      <w:r w:rsidR="004C72E6" w:rsidRPr="00853CCC">
        <w:rPr>
          <w:rFonts w:ascii="Garamond" w:hAnsi="Garamond"/>
          <w:sz w:val="28"/>
          <w:szCs w:val="28"/>
        </w:rPr>
        <w:t xml:space="preserve">Yükseköğretim Kurulu </w:t>
      </w:r>
      <w:r w:rsidR="00E67545" w:rsidRPr="00853CCC">
        <w:rPr>
          <w:rFonts w:ascii="Garamond" w:hAnsi="Garamond"/>
          <w:sz w:val="28"/>
          <w:szCs w:val="28"/>
        </w:rPr>
        <w:t xml:space="preserve">Başkanlığına tahsis edilen ödeneklerin Ocak-Haziran dönemi sonu itibariyle fiili gerçekleşmelerine ilişkin ayrıntılı veriler ekli tabloda belirtilmiştir. </w:t>
      </w:r>
      <w:r w:rsidR="00E67545" w:rsidRPr="00853CCC">
        <w:rPr>
          <w:rFonts w:ascii="Garamond" w:hAnsi="Garamond"/>
          <w:b/>
          <w:sz w:val="28"/>
          <w:szCs w:val="28"/>
        </w:rPr>
        <w:t xml:space="preserve">(EK:1) </w:t>
      </w:r>
    </w:p>
    <w:p w14:paraId="141C10B5" w14:textId="77777777" w:rsidR="00853CCC" w:rsidRDefault="00853CCC" w:rsidP="00E67545">
      <w:pPr>
        <w:pStyle w:val="GvdeMetni"/>
        <w:spacing w:line="312" w:lineRule="auto"/>
        <w:ind w:firstLine="709"/>
        <w:jc w:val="both"/>
        <w:rPr>
          <w:rFonts w:ascii="Garamond" w:hAnsi="Garamond"/>
          <w:sz w:val="28"/>
          <w:szCs w:val="28"/>
        </w:rPr>
      </w:pPr>
    </w:p>
    <w:p w14:paraId="13B9AC60" w14:textId="77777777" w:rsidR="00E67545" w:rsidRPr="00853CCC" w:rsidRDefault="00E67545" w:rsidP="00E67545">
      <w:pPr>
        <w:pStyle w:val="GvdeMetni"/>
        <w:spacing w:line="312" w:lineRule="auto"/>
        <w:ind w:firstLine="709"/>
        <w:jc w:val="both"/>
        <w:rPr>
          <w:rFonts w:ascii="Garamond" w:hAnsi="Garamond"/>
          <w:sz w:val="28"/>
          <w:szCs w:val="28"/>
        </w:rPr>
      </w:pPr>
      <w:r w:rsidRPr="00853CCC">
        <w:rPr>
          <w:rFonts w:ascii="Garamond" w:hAnsi="Garamond"/>
          <w:sz w:val="28"/>
          <w:szCs w:val="28"/>
        </w:rPr>
        <w:t>Sözkonusu tabloda</w:t>
      </w:r>
      <w:r w:rsidRPr="00853CCC">
        <w:rPr>
          <w:rFonts w:ascii="Garamond" w:hAnsi="Garamond"/>
          <w:b/>
          <w:sz w:val="28"/>
          <w:szCs w:val="28"/>
        </w:rPr>
        <w:t xml:space="preserve"> </w:t>
      </w:r>
      <w:r w:rsidR="00734C32" w:rsidRPr="00853CCC">
        <w:rPr>
          <w:rFonts w:ascii="Garamond" w:hAnsi="Garamond"/>
          <w:sz w:val="28"/>
          <w:szCs w:val="28"/>
        </w:rPr>
        <w:t>20</w:t>
      </w:r>
      <w:r w:rsidR="00C6216C" w:rsidRPr="00853CCC">
        <w:rPr>
          <w:rFonts w:ascii="Garamond" w:hAnsi="Garamond"/>
          <w:sz w:val="28"/>
          <w:szCs w:val="28"/>
        </w:rPr>
        <w:t>10</w:t>
      </w:r>
      <w:r w:rsidRPr="00853CCC">
        <w:rPr>
          <w:rFonts w:ascii="Garamond" w:hAnsi="Garamond"/>
          <w:sz w:val="28"/>
          <w:szCs w:val="28"/>
        </w:rPr>
        <w:t xml:space="preserve"> yılı Ocak- H</w:t>
      </w:r>
      <w:r w:rsidR="00734C32" w:rsidRPr="00853CCC">
        <w:rPr>
          <w:rFonts w:ascii="Garamond" w:hAnsi="Garamond"/>
          <w:sz w:val="28"/>
          <w:szCs w:val="28"/>
        </w:rPr>
        <w:t>aziran dönemi harcamasının, 200</w:t>
      </w:r>
      <w:r w:rsidR="00C6216C" w:rsidRPr="00853CCC">
        <w:rPr>
          <w:rFonts w:ascii="Garamond" w:hAnsi="Garamond"/>
          <w:sz w:val="28"/>
          <w:szCs w:val="28"/>
        </w:rPr>
        <w:t>9</w:t>
      </w:r>
      <w:r w:rsidRPr="00853CCC">
        <w:rPr>
          <w:rFonts w:ascii="Garamond" w:hAnsi="Garamond"/>
          <w:sz w:val="28"/>
          <w:szCs w:val="28"/>
        </w:rPr>
        <w:t xml:space="preserve"> yılına oranla %</w:t>
      </w:r>
      <w:r w:rsidR="00734C32" w:rsidRPr="00853CCC">
        <w:rPr>
          <w:rFonts w:ascii="Garamond" w:hAnsi="Garamond"/>
          <w:sz w:val="28"/>
          <w:szCs w:val="28"/>
        </w:rPr>
        <w:t>1</w:t>
      </w:r>
      <w:r w:rsidR="004C72E6" w:rsidRPr="00853CCC">
        <w:rPr>
          <w:rFonts w:ascii="Garamond" w:hAnsi="Garamond"/>
          <w:sz w:val="28"/>
          <w:szCs w:val="28"/>
        </w:rPr>
        <w:t>47,78</w:t>
      </w:r>
      <w:r w:rsidRPr="00853CCC">
        <w:rPr>
          <w:rFonts w:ascii="Garamond" w:hAnsi="Garamond"/>
          <w:sz w:val="28"/>
          <w:szCs w:val="28"/>
        </w:rPr>
        <w:t xml:space="preserve"> artarak </w:t>
      </w:r>
      <w:r w:rsidR="004C72E6" w:rsidRPr="00853CCC">
        <w:rPr>
          <w:rFonts w:ascii="Garamond" w:hAnsi="Garamond"/>
          <w:sz w:val="28"/>
          <w:szCs w:val="28"/>
        </w:rPr>
        <w:t>16.892.769</w:t>
      </w:r>
      <w:r w:rsidR="00625B8F" w:rsidRPr="00853CCC">
        <w:rPr>
          <w:rFonts w:ascii="Garamond" w:hAnsi="Garamond"/>
          <w:sz w:val="28"/>
          <w:szCs w:val="28"/>
        </w:rPr>
        <w:t xml:space="preserve"> </w:t>
      </w:r>
      <w:r w:rsidRPr="00853CCC">
        <w:rPr>
          <w:rFonts w:ascii="Garamond" w:hAnsi="Garamond"/>
          <w:sz w:val="28"/>
          <w:szCs w:val="28"/>
        </w:rPr>
        <w:t xml:space="preserve">TL. ye ulaştığı görülmektedir. </w:t>
      </w:r>
    </w:p>
    <w:p w14:paraId="55169054" w14:textId="77777777" w:rsidR="00853CCC" w:rsidRDefault="00853CCC" w:rsidP="00E67545">
      <w:pPr>
        <w:pStyle w:val="GvdeMetni"/>
        <w:spacing w:line="312" w:lineRule="auto"/>
        <w:ind w:firstLine="709"/>
        <w:jc w:val="both"/>
        <w:rPr>
          <w:rFonts w:ascii="Garamond" w:hAnsi="Garamond"/>
          <w:sz w:val="28"/>
          <w:szCs w:val="28"/>
        </w:rPr>
      </w:pPr>
    </w:p>
    <w:p w14:paraId="5DABBBDC" w14:textId="77777777" w:rsidR="00E67545" w:rsidRDefault="00E67545" w:rsidP="00E67545">
      <w:pPr>
        <w:pStyle w:val="GvdeMetni"/>
        <w:spacing w:line="312" w:lineRule="auto"/>
        <w:ind w:firstLine="709"/>
        <w:jc w:val="both"/>
        <w:rPr>
          <w:rFonts w:ascii="Garamond" w:hAnsi="Garamond"/>
          <w:sz w:val="28"/>
          <w:szCs w:val="28"/>
        </w:rPr>
      </w:pPr>
      <w:r w:rsidRPr="00853CCC">
        <w:rPr>
          <w:rFonts w:ascii="Garamond" w:hAnsi="Garamond"/>
          <w:sz w:val="28"/>
          <w:szCs w:val="28"/>
        </w:rPr>
        <w:t>Harcamalar bazında ise 20</w:t>
      </w:r>
      <w:r w:rsidR="00C6216C" w:rsidRPr="00853CCC">
        <w:rPr>
          <w:rFonts w:ascii="Garamond" w:hAnsi="Garamond"/>
          <w:sz w:val="28"/>
          <w:szCs w:val="28"/>
        </w:rPr>
        <w:t>10</w:t>
      </w:r>
      <w:r w:rsidRPr="00853CCC">
        <w:rPr>
          <w:rFonts w:ascii="Garamond" w:hAnsi="Garamond"/>
          <w:sz w:val="28"/>
          <w:szCs w:val="28"/>
        </w:rPr>
        <w:t xml:space="preserve"> yılı ilk altı aylık bütçe uygulama sonuçları aşağıda</w:t>
      </w:r>
      <w:r w:rsidR="00562D90" w:rsidRPr="00853CCC">
        <w:rPr>
          <w:rFonts w:ascii="Garamond" w:hAnsi="Garamond"/>
          <w:sz w:val="28"/>
          <w:szCs w:val="28"/>
        </w:rPr>
        <w:t xml:space="preserve"> belirtilmiştir.</w:t>
      </w:r>
      <w:r w:rsidRPr="00853CCC">
        <w:rPr>
          <w:rFonts w:ascii="Garamond" w:hAnsi="Garamond"/>
          <w:sz w:val="28"/>
          <w:szCs w:val="28"/>
        </w:rPr>
        <w:t xml:space="preserve">     </w:t>
      </w:r>
    </w:p>
    <w:p w14:paraId="2052BC7E" w14:textId="77777777" w:rsidR="000822B4" w:rsidRDefault="000822B4" w:rsidP="00E67545">
      <w:pPr>
        <w:pStyle w:val="GvdeMetni"/>
        <w:spacing w:line="312" w:lineRule="auto"/>
        <w:ind w:firstLine="709"/>
        <w:jc w:val="both"/>
        <w:rPr>
          <w:rFonts w:ascii="Garamond" w:hAnsi="Garamond"/>
          <w:sz w:val="28"/>
          <w:szCs w:val="28"/>
        </w:rPr>
      </w:pPr>
    </w:p>
    <w:p w14:paraId="2115F1E3" w14:textId="77777777" w:rsidR="000822B4" w:rsidRDefault="000822B4" w:rsidP="00E67545">
      <w:pPr>
        <w:pStyle w:val="GvdeMetni"/>
        <w:spacing w:line="312" w:lineRule="auto"/>
        <w:ind w:firstLine="709"/>
        <w:jc w:val="both"/>
        <w:rPr>
          <w:rFonts w:ascii="Garamond" w:hAnsi="Garamond"/>
          <w:sz w:val="28"/>
          <w:szCs w:val="28"/>
        </w:rPr>
      </w:pPr>
    </w:p>
    <w:p w14:paraId="61ED4936" w14:textId="77777777" w:rsidR="000822B4" w:rsidRPr="00853CCC" w:rsidRDefault="000822B4" w:rsidP="00E67545">
      <w:pPr>
        <w:pStyle w:val="GvdeMetni"/>
        <w:spacing w:line="312" w:lineRule="auto"/>
        <w:ind w:firstLine="709"/>
        <w:jc w:val="both"/>
        <w:rPr>
          <w:rFonts w:ascii="Garamond" w:hAnsi="Garamond"/>
          <w:sz w:val="28"/>
          <w:szCs w:val="28"/>
        </w:rPr>
      </w:pPr>
    </w:p>
    <w:p w14:paraId="671E7BD9" w14:textId="77777777" w:rsidR="00E67545" w:rsidRDefault="00E67545" w:rsidP="00E67545">
      <w:pPr>
        <w:pStyle w:val="GvdeMetni"/>
        <w:spacing w:line="312" w:lineRule="auto"/>
        <w:ind w:firstLine="709"/>
        <w:jc w:val="both"/>
        <w:rPr>
          <w:rFonts w:ascii="Garamond" w:hAnsi="Garamond"/>
          <w:sz w:val="28"/>
          <w:szCs w:val="28"/>
        </w:rPr>
      </w:pPr>
      <w:r w:rsidRPr="00853CCC">
        <w:rPr>
          <w:rFonts w:ascii="Garamond" w:hAnsi="Garamond"/>
          <w:sz w:val="28"/>
          <w:szCs w:val="28"/>
        </w:rPr>
        <w:lastRenderedPageBreak/>
        <w:t>Personel giderleri, 200</w:t>
      </w:r>
      <w:r w:rsidR="00C6216C" w:rsidRPr="00853CCC">
        <w:rPr>
          <w:rFonts w:ascii="Garamond" w:hAnsi="Garamond"/>
          <w:sz w:val="28"/>
          <w:szCs w:val="28"/>
        </w:rPr>
        <w:t>9</w:t>
      </w:r>
      <w:r w:rsidRPr="00853CCC">
        <w:rPr>
          <w:rFonts w:ascii="Garamond" w:hAnsi="Garamond"/>
          <w:sz w:val="28"/>
          <w:szCs w:val="28"/>
        </w:rPr>
        <w:t xml:space="preserve"> yılının ilk altı ayının gerçekleşme rakamlarına göre %</w:t>
      </w:r>
      <w:r w:rsidR="00C6216C" w:rsidRPr="00853CCC">
        <w:rPr>
          <w:rFonts w:ascii="Garamond" w:hAnsi="Garamond"/>
          <w:sz w:val="28"/>
          <w:szCs w:val="28"/>
        </w:rPr>
        <w:t>9</w:t>
      </w:r>
      <w:r w:rsidRPr="00853CCC">
        <w:rPr>
          <w:rFonts w:ascii="Garamond" w:hAnsi="Garamond"/>
          <w:sz w:val="28"/>
          <w:szCs w:val="28"/>
        </w:rPr>
        <w:t>,</w:t>
      </w:r>
      <w:r w:rsidR="004C72E6" w:rsidRPr="00853CCC">
        <w:rPr>
          <w:rFonts w:ascii="Garamond" w:hAnsi="Garamond"/>
          <w:sz w:val="28"/>
          <w:szCs w:val="28"/>
        </w:rPr>
        <w:t>89</w:t>
      </w:r>
      <w:r w:rsidRPr="00853CCC">
        <w:rPr>
          <w:rFonts w:ascii="Garamond" w:hAnsi="Garamond"/>
          <w:sz w:val="28"/>
          <w:szCs w:val="28"/>
        </w:rPr>
        <w:t xml:space="preserve"> artışla </w:t>
      </w:r>
      <w:r w:rsidR="004C72E6" w:rsidRPr="00853CCC">
        <w:rPr>
          <w:rFonts w:ascii="Garamond" w:hAnsi="Garamond"/>
          <w:sz w:val="28"/>
          <w:szCs w:val="28"/>
        </w:rPr>
        <w:t>4.942.652</w:t>
      </w:r>
      <w:r w:rsidRPr="00853CCC">
        <w:rPr>
          <w:rFonts w:ascii="Garamond" w:hAnsi="Garamond"/>
          <w:sz w:val="28"/>
          <w:szCs w:val="28"/>
        </w:rPr>
        <w:t xml:space="preserve"> TL. ve Sosyal Güvenlik Kurumlarına Devlet Primi Giderleri de %</w:t>
      </w:r>
      <w:r w:rsidR="00C6216C" w:rsidRPr="00853CCC">
        <w:rPr>
          <w:rFonts w:ascii="Garamond" w:hAnsi="Garamond"/>
          <w:sz w:val="28"/>
          <w:szCs w:val="28"/>
        </w:rPr>
        <w:t>6</w:t>
      </w:r>
      <w:r w:rsidR="004C72E6" w:rsidRPr="00853CCC">
        <w:rPr>
          <w:rFonts w:ascii="Garamond" w:hAnsi="Garamond"/>
          <w:sz w:val="28"/>
          <w:szCs w:val="28"/>
        </w:rPr>
        <w:t>5</w:t>
      </w:r>
      <w:r w:rsidR="00625B8F" w:rsidRPr="00853CCC">
        <w:rPr>
          <w:rFonts w:ascii="Garamond" w:hAnsi="Garamond"/>
          <w:sz w:val="28"/>
          <w:szCs w:val="28"/>
        </w:rPr>
        <w:t>,</w:t>
      </w:r>
      <w:r w:rsidR="004C72E6" w:rsidRPr="00853CCC">
        <w:rPr>
          <w:rFonts w:ascii="Garamond" w:hAnsi="Garamond"/>
          <w:sz w:val="28"/>
          <w:szCs w:val="28"/>
        </w:rPr>
        <w:t>99</w:t>
      </w:r>
      <w:r w:rsidRPr="00853CCC">
        <w:rPr>
          <w:rFonts w:ascii="Garamond" w:hAnsi="Garamond"/>
          <w:sz w:val="28"/>
          <w:szCs w:val="28"/>
        </w:rPr>
        <w:t xml:space="preserve"> artışla </w:t>
      </w:r>
      <w:r w:rsidR="004C72E6" w:rsidRPr="00853CCC">
        <w:rPr>
          <w:rFonts w:ascii="Garamond" w:hAnsi="Garamond"/>
          <w:sz w:val="28"/>
          <w:szCs w:val="28"/>
        </w:rPr>
        <w:t>847.634</w:t>
      </w:r>
      <w:r w:rsidRPr="00853CCC">
        <w:rPr>
          <w:rFonts w:ascii="Garamond" w:hAnsi="Garamond"/>
          <w:sz w:val="28"/>
          <w:szCs w:val="28"/>
        </w:rPr>
        <w:t xml:space="preserve"> TL. olarak gerçekleşmiştir. </w:t>
      </w:r>
    </w:p>
    <w:p w14:paraId="17822EDE" w14:textId="77777777" w:rsidR="00853CCC" w:rsidRPr="00853CCC" w:rsidRDefault="00853CCC" w:rsidP="00E67545">
      <w:pPr>
        <w:pStyle w:val="GvdeMetni"/>
        <w:spacing w:line="312" w:lineRule="auto"/>
        <w:ind w:firstLine="709"/>
        <w:jc w:val="both"/>
        <w:rPr>
          <w:rFonts w:ascii="Garamond" w:hAnsi="Garamond"/>
          <w:sz w:val="28"/>
          <w:szCs w:val="28"/>
        </w:rPr>
      </w:pPr>
    </w:p>
    <w:p w14:paraId="784CB7DD" w14:textId="77777777" w:rsidR="00E67545" w:rsidRDefault="00E67545" w:rsidP="00E67545">
      <w:pPr>
        <w:pStyle w:val="GvdeMetni"/>
        <w:spacing w:line="312" w:lineRule="auto"/>
        <w:ind w:firstLine="709"/>
        <w:jc w:val="both"/>
        <w:rPr>
          <w:rFonts w:ascii="Garamond" w:hAnsi="Garamond"/>
          <w:sz w:val="28"/>
          <w:szCs w:val="28"/>
        </w:rPr>
      </w:pPr>
      <w:r w:rsidRPr="00853CCC">
        <w:rPr>
          <w:rFonts w:ascii="Garamond" w:hAnsi="Garamond"/>
          <w:sz w:val="28"/>
          <w:szCs w:val="28"/>
        </w:rPr>
        <w:t xml:space="preserve">Mal ve Hizmet Alım Giderleri bir önceki yılın </w:t>
      </w:r>
      <w:r w:rsidR="00C6216C" w:rsidRPr="00853CCC">
        <w:rPr>
          <w:rFonts w:ascii="Garamond" w:hAnsi="Garamond"/>
          <w:sz w:val="28"/>
          <w:szCs w:val="28"/>
        </w:rPr>
        <w:t>aynı dönemine göre %</w:t>
      </w:r>
      <w:r w:rsidR="004C72E6" w:rsidRPr="00853CCC">
        <w:rPr>
          <w:rFonts w:ascii="Garamond" w:hAnsi="Garamond"/>
          <w:sz w:val="28"/>
          <w:szCs w:val="28"/>
        </w:rPr>
        <w:t>9,63</w:t>
      </w:r>
      <w:r w:rsidRPr="00853CCC">
        <w:rPr>
          <w:rFonts w:ascii="Garamond" w:hAnsi="Garamond"/>
          <w:sz w:val="28"/>
          <w:szCs w:val="28"/>
        </w:rPr>
        <w:t xml:space="preserve"> </w:t>
      </w:r>
      <w:r w:rsidR="00625B8F" w:rsidRPr="00853CCC">
        <w:rPr>
          <w:rFonts w:ascii="Garamond" w:hAnsi="Garamond"/>
          <w:sz w:val="28"/>
          <w:szCs w:val="28"/>
        </w:rPr>
        <w:t>artarak</w:t>
      </w:r>
      <w:r w:rsidRPr="00853CCC">
        <w:rPr>
          <w:rFonts w:ascii="Garamond" w:hAnsi="Garamond"/>
          <w:sz w:val="28"/>
          <w:szCs w:val="28"/>
        </w:rPr>
        <w:t xml:space="preserve"> </w:t>
      </w:r>
      <w:r w:rsidR="004C72E6" w:rsidRPr="00853CCC">
        <w:rPr>
          <w:rFonts w:ascii="Garamond" w:hAnsi="Garamond"/>
          <w:sz w:val="28"/>
          <w:szCs w:val="28"/>
        </w:rPr>
        <w:t>1.744.511</w:t>
      </w:r>
      <w:r w:rsidRPr="00853CCC">
        <w:rPr>
          <w:rFonts w:ascii="Garamond" w:hAnsi="Garamond"/>
          <w:sz w:val="28"/>
          <w:szCs w:val="28"/>
        </w:rPr>
        <w:t xml:space="preserve"> TL. olmuş</w:t>
      </w:r>
      <w:r w:rsidR="00625B8F" w:rsidRPr="00853CCC">
        <w:rPr>
          <w:rFonts w:ascii="Garamond" w:hAnsi="Garamond"/>
          <w:sz w:val="28"/>
          <w:szCs w:val="28"/>
        </w:rPr>
        <w:t xml:space="preserve">, Cari Transferler </w:t>
      </w:r>
      <w:r w:rsidRPr="00853CCC">
        <w:rPr>
          <w:rFonts w:ascii="Garamond" w:hAnsi="Garamond"/>
          <w:sz w:val="28"/>
          <w:szCs w:val="28"/>
        </w:rPr>
        <w:t>%</w:t>
      </w:r>
      <w:r w:rsidR="004C72E6" w:rsidRPr="00853CCC">
        <w:rPr>
          <w:rFonts w:ascii="Garamond" w:hAnsi="Garamond"/>
          <w:sz w:val="28"/>
          <w:szCs w:val="28"/>
        </w:rPr>
        <w:t>2.733</w:t>
      </w:r>
      <w:r w:rsidRPr="00853CCC">
        <w:rPr>
          <w:rFonts w:ascii="Garamond" w:hAnsi="Garamond"/>
          <w:sz w:val="28"/>
          <w:szCs w:val="28"/>
        </w:rPr>
        <w:t xml:space="preserve"> oranında artarak </w:t>
      </w:r>
      <w:r w:rsidR="004C72E6" w:rsidRPr="00853CCC">
        <w:rPr>
          <w:rFonts w:ascii="Garamond" w:hAnsi="Garamond"/>
          <w:sz w:val="28"/>
          <w:szCs w:val="28"/>
        </w:rPr>
        <w:t>5.210.165</w:t>
      </w:r>
      <w:r w:rsidRPr="00853CCC">
        <w:rPr>
          <w:rFonts w:ascii="Garamond" w:hAnsi="Garamond"/>
          <w:sz w:val="28"/>
          <w:szCs w:val="28"/>
        </w:rPr>
        <w:t xml:space="preserve"> TL.</w:t>
      </w:r>
      <w:r w:rsidR="007E51D1" w:rsidRPr="00853CCC">
        <w:rPr>
          <w:rFonts w:ascii="Garamond" w:hAnsi="Garamond"/>
          <w:sz w:val="28"/>
          <w:szCs w:val="28"/>
        </w:rPr>
        <w:t>’ye ulaşmıştır.</w:t>
      </w:r>
      <w:r w:rsidRPr="00853CCC">
        <w:rPr>
          <w:rFonts w:ascii="Garamond" w:hAnsi="Garamond"/>
          <w:sz w:val="28"/>
          <w:szCs w:val="28"/>
        </w:rPr>
        <w:t xml:space="preserve"> Sermaye Giderleri ise %</w:t>
      </w:r>
      <w:r w:rsidR="004C72E6" w:rsidRPr="00853CCC">
        <w:rPr>
          <w:rFonts w:ascii="Garamond" w:hAnsi="Garamond"/>
          <w:sz w:val="28"/>
          <w:szCs w:val="28"/>
        </w:rPr>
        <w:t>12.049</w:t>
      </w:r>
      <w:r w:rsidRPr="00853CCC">
        <w:rPr>
          <w:rFonts w:ascii="Garamond" w:hAnsi="Garamond"/>
          <w:sz w:val="28"/>
          <w:szCs w:val="28"/>
        </w:rPr>
        <w:t xml:space="preserve"> oranında </w:t>
      </w:r>
      <w:r w:rsidR="004C72E6" w:rsidRPr="00853CCC">
        <w:rPr>
          <w:rFonts w:ascii="Garamond" w:hAnsi="Garamond"/>
          <w:sz w:val="28"/>
          <w:szCs w:val="28"/>
        </w:rPr>
        <w:t>artarak</w:t>
      </w:r>
      <w:r w:rsidR="00625B8F" w:rsidRPr="00853CCC">
        <w:rPr>
          <w:rFonts w:ascii="Garamond" w:hAnsi="Garamond"/>
          <w:sz w:val="28"/>
          <w:szCs w:val="28"/>
        </w:rPr>
        <w:t xml:space="preserve"> </w:t>
      </w:r>
      <w:r w:rsidRPr="00853CCC">
        <w:rPr>
          <w:rFonts w:ascii="Garamond" w:hAnsi="Garamond"/>
          <w:sz w:val="28"/>
          <w:szCs w:val="28"/>
        </w:rPr>
        <w:t xml:space="preserve"> </w:t>
      </w:r>
      <w:r w:rsidR="004C72E6" w:rsidRPr="00853CCC">
        <w:rPr>
          <w:rFonts w:ascii="Garamond" w:hAnsi="Garamond"/>
          <w:sz w:val="28"/>
          <w:szCs w:val="28"/>
        </w:rPr>
        <w:t>4.147.807 TL</w:t>
      </w:r>
      <w:r w:rsidRPr="00853CCC">
        <w:rPr>
          <w:rFonts w:ascii="Garamond" w:hAnsi="Garamond"/>
          <w:sz w:val="28"/>
          <w:szCs w:val="28"/>
        </w:rPr>
        <w:t xml:space="preserve"> </w:t>
      </w:r>
      <w:r w:rsidR="007E51D1" w:rsidRPr="00853CCC">
        <w:rPr>
          <w:rFonts w:ascii="Garamond" w:hAnsi="Garamond"/>
          <w:sz w:val="28"/>
          <w:szCs w:val="28"/>
        </w:rPr>
        <w:t>olarak gerçekleşmiştir.</w:t>
      </w:r>
      <w:r w:rsidRPr="00853CCC">
        <w:rPr>
          <w:rFonts w:ascii="Garamond" w:hAnsi="Garamond"/>
          <w:sz w:val="28"/>
          <w:szCs w:val="28"/>
        </w:rPr>
        <w:t xml:space="preserve"> </w:t>
      </w:r>
    </w:p>
    <w:p w14:paraId="3236827C" w14:textId="77777777" w:rsidR="00853CCC" w:rsidRPr="00853CCC" w:rsidRDefault="00853CCC" w:rsidP="00E67545">
      <w:pPr>
        <w:pStyle w:val="GvdeMetni"/>
        <w:spacing w:line="312" w:lineRule="auto"/>
        <w:ind w:firstLine="709"/>
        <w:jc w:val="both"/>
        <w:rPr>
          <w:rFonts w:ascii="Garamond" w:hAnsi="Garamond"/>
          <w:sz w:val="28"/>
          <w:szCs w:val="28"/>
        </w:rPr>
      </w:pPr>
    </w:p>
    <w:p w14:paraId="7038A9C8" w14:textId="77777777" w:rsidR="004B1F4E" w:rsidRDefault="004C72E6" w:rsidP="004B1F4E">
      <w:pPr>
        <w:pStyle w:val="GvdeMetni"/>
        <w:spacing w:line="312" w:lineRule="auto"/>
        <w:ind w:firstLine="709"/>
        <w:jc w:val="both"/>
        <w:rPr>
          <w:rFonts w:ascii="Garamond" w:hAnsi="Garamond"/>
          <w:sz w:val="28"/>
          <w:szCs w:val="28"/>
        </w:rPr>
      </w:pPr>
      <w:r w:rsidRPr="00853CCC">
        <w:rPr>
          <w:rFonts w:ascii="Garamond" w:hAnsi="Garamond"/>
          <w:sz w:val="28"/>
          <w:szCs w:val="28"/>
        </w:rPr>
        <w:t xml:space="preserve">Yükseköğretim Kurulu </w:t>
      </w:r>
      <w:r w:rsidR="00C6216C" w:rsidRPr="00853CCC">
        <w:rPr>
          <w:rFonts w:ascii="Garamond" w:hAnsi="Garamond"/>
          <w:sz w:val="28"/>
          <w:szCs w:val="28"/>
        </w:rPr>
        <w:t>Başkanlığına 2009 ve 2010</w:t>
      </w:r>
      <w:r w:rsidR="004B1F4E" w:rsidRPr="00853CCC">
        <w:rPr>
          <w:rFonts w:ascii="Garamond" w:hAnsi="Garamond"/>
          <w:sz w:val="28"/>
          <w:szCs w:val="28"/>
        </w:rPr>
        <w:t xml:space="preserve"> yıllarında tahsis edilen başlangıç ödenekleri ve bu ödeneklerden ilk altışar aylık dönemlerde gerçekleşen harcama tutarları ve oranları aşağıdaki grafiklerde gösterilmiştir.</w:t>
      </w:r>
    </w:p>
    <w:p w14:paraId="48D65C96" w14:textId="77777777" w:rsidR="00853CCC" w:rsidRPr="00853CCC" w:rsidRDefault="00853CCC" w:rsidP="004B1F4E">
      <w:pPr>
        <w:pStyle w:val="GvdeMetni"/>
        <w:spacing w:line="312" w:lineRule="auto"/>
        <w:ind w:firstLine="709"/>
        <w:jc w:val="both"/>
        <w:rPr>
          <w:rFonts w:ascii="Garamond" w:hAnsi="Garamond"/>
          <w:b/>
          <w:bCs/>
          <w:sz w:val="28"/>
          <w:szCs w:val="28"/>
          <w:u w:val="single"/>
        </w:rPr>
      </w:pPr>
    </w:p>
    <w:p w14:paraId="62AAB4F1" w14:textId="6D52D189" w:rsidR="007E51D1" w:rsidRDefault="002D667C" w:rsidP="00E67545">
      <w:pPr>
        <w:pStyle w:val="GvdeMetni"/>
        <w:spacing w:before="120" w:after="120" w:line="312" w:lineRule="auto"/>
        <w:ind w:right="-108"/>
        <w:jc w:val="both"/>
        <w:rPr>
          <w:rFonts w:ascii="Garamond" w:hAnsi="Garamond"/>
          <w:color w:val="333399"/>
          <w:sz w:val="28"/>
          <w:szCs w:val="28"/>
        </w:rPr>
      </w:pPr>
      <w:r w:rsidRPr="00780839">
        <w:rPr>
          <w:rFonts w:ascii="Garamond" w:hAnsi="Garamond"/>
          <w:noProof/>
          <w:color w:val="333399"/>
          <w:sz w:val="28"/>
          <w:szCs w:val="28"/>
        </w:rPr>
        <w:drawing>
          <wp:inline distT="0" distB="0" distL="0" distR="0" wp14:anchorId="095F471D" wp14:editId="1814B43A">
            <wp:extent cx="5600700" cy="4038600"/>
            <wp:effectExtent l="0" t="0" r="0" b="0"/>
            <wp:docPr id="2" name="Nesnesi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EC6235" w14:textId="160F4554" w:rsidR="00562D90" w:rsidRDefault="002D667C" w:rsidP="00562D90">
      <w:pPr>
        <w:pStyle w:val="GvdeMetni"/>
        <w:spacing w:before="120" w:after="120" w:line="312" w:lineRule="auto"/>
        <w:ind w:right="-288"/>
        <w:jc w:val="both"/>
        <w:rPr>
          <w:rFonts w:ascii="Garamond" w:hAnsi="Garamond"/>
          <w:color w:val="333399"/>
          <w:sz w:val="28"/>
          <w:szCs w:val="28"/>
        </w:rPr>
      </w:pPr>
      <w:r w:rsidRPr="00780839">
        <w:rPr>
          <w:rFonts w:ascii="Garamond" w:hAnsi="Garamond"/>
          <w:noProof/>
          <w:color w:val="333399"/>
          <w:sz w:val="28"/>
          <w:szCs w:val="28"/>
        </w:rPr>
        <w:lastRenderedPageBreak/>
        <w:drawing>
          <wp:inline distT="0" distB="0" distL="0" distR="0" wp14:anchorId="2737CA33" wp14:editId="39D406A2">
            <wp:extent cx="5600700" cy="4362450"/>
            <wp:effectExtent l="0" t="0" r="0" b="0"/>
            <wp:docPr id="3" name="Nesnesi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80713C" w14:textId="77777777" w:rsidR="00562D90" w:rsidRDefault="00562D90" w:rsidP="00562D90">
      <w:pPr>
        <w:pStyle w:val="GvdeMetni"/>
        <w:spacing w:before="120" w:after="120" w:line="312" w:lineRule="auto"/>
        <w:ind w:right="-288" w:firstLine="708"/>
        <w:jc w:val="both"/>
        <w:rPr>
          <w:rFonts w:ascii="Garamond" w:hAnsi="Garamond"/>
          <w:color w:val="333399"/>
          <w:sz w:val="28"/>
          <w:szCs w:val="28"/>
        </w:rPr>
      </w:pPr>
    </w:p>
    <w:p w14:paraId="3684C671" w14:textId="77777777" w:rsidR="00E67545" w:rsidRPr="00853CCC" w:rsidRDefault="00E67545" w:rsidP="00D379CD">
      <w:pPr>
        <w:pStyle w:val="GvdeMetni"/>
        <w:spacing w:before="120" w:after="120" w:line="312" w:lineRule="auto"/>
        <w:ind w:right="139" w:firstLine="708"/>
        <w:jc w:val="both"/>
        <w:rPr>
          <w:rFonts w:ascii="Garamond" w:hAnsi="Garamond"/>
          <w:sz w:val="28"/>
          <w:szCs w:val="28"/>
        </w:rPr>
      </w:pPr>
      <w:r w:rsidRPr="00853CCC">
        <w:rPr>
          <w:rFonts w:ascii="Garamond" w:hAnsi="Garamond"/>
          <w:sz w:val="28"/>
          <w:szCs w:val="28"/>
        </w:rPr>
        <w:t>Başkanlığımız harcama birimlerinin, 20</w:t>
      </w:r>
      <w:r w:rsidR="00562D90" w:rsidRPr="00853CCC">
        <w:rPr>
          <w:rFonts w:ascii="Garamond" w:hAnsi="Garamond"/>
          <w:sz w:val="28"/>
          <w:szCs w:val="28"/>
        </w:rPr>
        <w:t>10</w:t>
      </w:r>
      <w:r w:rsidRPr="00853CCC">
        <w:rPr>
          <w:rFonts w:ascii="Garamond" w:hAnsi="Garamond"/>
          <w:sz w:val="28"/>
          <w:szCs w:val="28"/>
        </w:rPr>
        <w:t xml:space="preserve"> yılının ilk altı ayında gerçekleştirdikleri bütçe giderleri ve başlangıç ödeneklerine göre gerçekleşme oranları ise aşağıdaki tabloda gösterildiği şekildedir.</w:t>
      </w:r>
    </w:p>
    <w:p w14:paraId="1EBDA702" w14:textId="77777777" w:rsidR="00E67545" w:rsidRPr="00780839" w:rsidRDefault="00E67545" w:rsidP="00E67545">
      <w:pPr>
        <w:pStyle w:val="GvdeMetni"/>
        <w:jc w:val="both"/>
        <w:rPr>
          <w:rFonts w:ascii="Garamond" w:hAnsi="Garamond"/>
          <w:color w:val="333399"/>
          <w:sz w:val="28"/>
          <w:szCs w:val="28"/>
        </w:rPr>
      </w:pPr>
    </w:p>
    <w:tbl>
      <w:tblPr>
        <w:tblW w:w="9142" w:type="dxa"/>
        <w:tblCellMar>
          <w:left w:w="70" w:type="dxa"/>
          <w:right w:w="70" w:type="dxa"/>
        </w:tblCellMar>
        <w:tblLook w:val="0000" w:firstRow="0" w:lastRow="0" w:firstColumn="0" w:lastColumn="0" w:noHBand="0" w:noVBand="0"/>
      </w:tblPr>
      <w:tblGrid>
        <w:gridCol w:w="3331"/>
        <w:gridCol w:w="1701"/>
        <w:gridCol w:w="2058"/>
        <w:gridCol w:w="2052"/>
      </w:tblGrid>
      <w:tr w:rsidR="00E67545" w:rsidRPr="00780839" w14:paraId="51DCB7CF" w14:textId="77777777" w:rsidTr="00D379CD">
        <w:trPr>
          <w:trHeight w:val="945"/>
        </w:trPr>
        <w:tc>
          <w:tcPr>
            <w:tcW w:w="3331"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6CBCB5EA" w14:textId="77777777" w:rsidR="00E67545" w:rsidRPr="00853CCC" w:rsidRDefault="00E67545" w:rsidP="006F7EB7">
            <w:pPr>
              <w:jc w:val="center"/>
              <w:rPr>
                <w:rFonts w:ascii="Garamond" w:hAnsi="Garamond"/>
                <w:b/>
                <w:bCs/>
                <w:sz w:val="28"/>
                <w:szCs w:val="28"/>
              </w:rPr>
            </w:pPr>
            <w:r w:rsidRPr="00853CCC">
              <w:rPr>
                <w:rFonts w:ascii="Garamond" w:hAnsi="Garamond"/>
                <w:b/>
                <w:bCs/>
                <w:sz w:val="28"/>
                <w:szCs w:val="28"/>
              </w:rPr>
              <w:t>Harcama Birimleri</w:t>
            </w:r>
          </w:p>
        </w:tc>
        <w:tc>
          <w:tcPr>
            <w:tcW w:w="1701" w:type="dxa"/>
            <w:tcBorders>
              <w:top w:val="single" w:sz="8" w:space="0" w:color="auto"/>
              <w:left w:val="nil"/>
              <w:bottom w:val="single" w:sz="8" w:space="0" w:color="auto"/>
              <w:right w:val="single" w:sz="8" w:space="0" w:color="auto"/>
            </w:tcBorders>
            <w:shd w:val="clear" w:color="auto" w:fill="FFFF99"/>
            <w:vAlign w:val="center"/>
          </w:tcPr>
          <w:p w14:paraId="1E9BC912" w14:textId="77777777" w:rsidR="00E67545" w:rsidRPr="00853CCC" w:rsidRDefault="00A24E89" w:rsidP="006F7EB7">
            <w:pPr>
              <w:jc w:val="center"/>
              <w:rPr>
                <w:rFonts w:ascii="Garamond" w:hAnsi="Garamond"/>
                <w:b/>
                <w:bCs/>
                <w:sz w:val="28"/>
                <w:szCs w:val="28"/>
              </w:rPr>
            </w:pPr>
            <w:r w:rsidRPr="00853CCC">
              <w:rPr>
                <w:rFonts w:ascii="Garamond" w:hAnsi="Garamond"/>
                <w:b/>
                <w:bCs/>
                <w:sz w:val="28"/>
                <w:szCs w:val="28"/>
              </w:rPr>
              <w:t>Başlangıç Ödeneği (</w:t>
            </w:r>
            <w:r w:rsidR="00E67545" w:rsidRPr="00853CCC">
              <w:rPr>
                <w:rFonts w:ascii="Garamond" w:hAnsi="Garamond"/>
                <w:b/>
                <w:bCs/>
                <w:sz w:val="28"/>
                <w:szCs w:val="28"/>
              </w:rPr>
              <w:t>TL)</w:t>
            </w:r>
          </w:p>
        </w:tc>
        <w:tc>
          <w:tcPr>
            <w:tcW w:w="2058" w:type="dxa"/>
            <w:tcBorders>
              <w:top w:val="single" w:sz="8" w:space="0" w:color="auto"/>
              <w:left w:val="nil"/>
              <w:bottom w:val="single" w:sz="8" w:space="0" w:color="auto"/>
              <w:right w:val="single" w:sz="8" w:space="0" w:color="auto"/>
            </w:tcBorders>
            <w:shd w:val="clear" w:color="auto" w:fill="FFFF99"/>
            <w:vAlign w:val="center"/>
          </w:tcPr>
          <w:p w14:paraId="597D8324" w14:textId="77777777" w:rsidR="00E67545" w:rsidRPr="00853CCC" w:rsidRDefault="00E67545" w:rsidP="006F7EB7">
            <w:pPr>
              <w:jc w:val="center"/>
              <w:rPr>
                <w:rFonts w:ascii="Garamond" w:hAnsi="Garamond"/>
                <w:b/>
                <w:bCs/>
                <w:sz w:val="28"/>
                <w:szCs w:val="28"/>
              </w:rPr>
            </w:pPr>
            <w:r w:rsidRPr="00853CCC">
              <w:rPr>
                <w:rFonts w:ascii="Garamond" w:hAnsi="Garamond"/>
                <w:b/>
                <w:bCs/>
                <w:sz w:val="28"/>
                <w:szCs w:val="28"/>
              </w:rPr>
              <w:t>Oc</w:t>
            </w:r>
            <w:r w:rsidR="00A24E89" w:rsidRPr="00853CCC">
              <w:rPr>
                <w:rFonts w:ascii="Garamond" w:hAnsi="Garamond"/>
                <w:b/>
                <w:bCs/>
                <w:sz w:val="28"/>
                <w:szCs w:val="28"/>
              </w:rPr>
              <w:t>ak-Haziran Gerçekleşme Tutarı (</w:t>
            </w:r>
            <w:r w:rsidRPr="00853CCC">
              <w:rPr>
                <w:rFonts w:ascii="Garamond" w:hAnsi="Garamond"/>
                <w:b/>
                <w:bCs/>
                <w:sz w:val="28"/>
                <w:szCs w:val="28"/>
              </w:rPr>
              <w:t>TL)</w:t>
            </w:r>
          </w:p>
        </w:tc>
        <w:tc>
          <w:tcPr>
            <w:tcW w:w="2052" w:type="dxa"/>
            <w:tcBorders>
              <w:top w:val="single" w:sz="8" w:space="0" w:color="auto"/>
              <w:left w:val="nil"/>
              <w:bottom w:val="single" w:sz="8" w:space="0" w:color="auto"/>
              <w:right w:val="single" w:sz="8" w:space="0" w:color="auto"/>
            </w:tcBorders>
            <w:shd w:val="clear" w:color="auto" w:fill="FFFF99"/>
            <w:vAlign w:val="center"/>
          </w:tcPr>
          <w:p w14:paraId="3F1CE07B" w14:textId="77777777" w:rsidR="00E67545" w:rsidRPr="00853CCC" w:rsidRDefault="00E67545" w:rsidP="006F7EB7">
            <w:pPr>
              <w:jc w:val="center"/>
              <w:rPr>
                <w:rFonts w:ascii="Garamond" w:hAnsi="Garamond"/>
                <w:b/>
                <w:bCs/>
                <w:sz w:val="28"/>
                <w:szCs w:val="28"/>
              </w:rPr>
            </w:pPr>
            <w:r w:rsidRPr="00853CCC">
              <w:rPr>
                <w:rFonts w:ascii="Garamond" w:hAnsi="Garamond"/>
                <w:b/>
                <w:bCs/>
                <w:sz w:val="28"/>
                <w:szCs w:val="28"/>
              </w:rPr>
              <w:t>Gerçekleşme Oranı(</w:t>
            </w:r>
            <w:r w:rsidRPr="00853CCC">
              <w:rPr>
                <w:rFonts w:ascii="Garamond" w:hAnsi="Garamond"/>
                <w:sz w:val="28"/>
                <w:szCs w:val="28"/>
              </w:rPr>
              <w:t>%</w:t>
            </w:r>
            <w:r w:rsidRPr="00853CCC">
              <w:rPr>
                <w:rFonts w:ascii="Garamond" w:hAnsi="Garamond"/>
                <w:b/>
                <w:bCs/>
                <w:sz w:val="28"/>
                <w:szCs w:val="28"/>
              </w:rPr>
              <w:t>)</w:t>
            </w:r>
          </w:p>
        </w:tc>
      </w:tr>
      <w:tr w:rsidR="00E67545" w:rsidRPr="00780839" w14:paraId="74F7B1F8" w14:textId="77777777" w:rsidTr="00D379CD">
        <w:trPr>
          <w:trHeight w:val="467"/>
        </w:trPr>
        <w:tc>
          <w:tcPr>
            <w:tcW w:w="3331" w:type="dxa"/>
            <w:tcBorders>
              <w:top w:val="nil"/>
              <w:left w:val="single" w:sz="8" w:space="0" w:color="auto"/>
              <w:bottom w:val="single" w:sz="8" w:space="0" w:color="auto"/>
              <w:right w:val="single" w:sz="8" w:space="0" w:color="auto"/>
            </w:tcBorders>
            <w:shd w:val="clear" w:color="auto" w:fill="CCFFFF"/>
            <w:noWrap/>
            <w:vAlign w:val="bottom"/>
          </w:tcPr>
          <w:p w14:paraId="1B8453F9" w14:textId="77777777" w:rsidR="00E67545" w:rsidRPr="00853CCC" w:rsidRDefault="00E67545" w:rsidP="006F7EB7">
            <w:pPr>
              <w:rPr>
                <w:rFonts w:ascii="Garamond" w:hAnsi="Garamond"/>
                <w:b/>
                <w:sz w:val="28"/>
                <w:szCs w:val="28"/>
              </w:rPr>
            </w:pPr>
            <w:r w:rsidRPr="00853CCC">
              <w:rPr>
                <w:rFonts w:ascii="Garamond" w:hAnsi="Garamond"/>
                <w:b/>
                <w:sz w:val="28"/>
                <w:szCs w:val="28"/>
              </w:rPr>
              <w:t>Özel Kalem Müdürlüğü</w:t>
            </w:r>
          </w:p>
        </w:tc>
        <w:tc>
          <w:tcPr>
            <w:tcW w:w="1701" w:type="dxa"/>
            <w:tcBorders>
              <w:top w:val="nil"/>
              <w:left w:val="nil"/>
              <w:bottom w:val="single" w:sz="8" w:space="0" w:color="auto"/>
              <w:right w:val="single" w:sz="8" w:space="0" w:color="auto"/>
            </w:tcBorders>
            <w:shd w:val="clear" w:color="auto" w:fill="CCFFFF"/>
            <w:noWrap/>
            <w:vAlign w:val="bottom"/>
          </w:tcPr>
          <w:p w14:paraId="3E962DC8" w14:textId="77777777" w:rsidR="00E67545" w:rsidRPr="00853CCC" w:rsidRDefault="004D3BCF" w:rsidP="004D3BCF">
            <w:pPr>
              <w:jc w:val="right"/>
              <w:rPr>
                <w:rFonts w:ascii="Garamond" w:hAnsi="Garamond"/>
                <w:b/>
                <w:sz w:val="28"/>
                <w:szCs w:val="28"/>
              </w:rPr>
            </w:pPr>
            <w:r w:rsidRPr="00853CCC">
              <w:rPr>
                <w:rFonts w:ascii="Garamond" w:hAnsi="Garamond"/>
                <w:b/>
                <w:sz w:val="28"/>
                <w:szCs w:val="28"/>
              </w:rPr>
              <w:t>2.421.200</w:t>
            </w:r>
          </w:p>
        </w:tc>
        <w:tc>
          <w:tcPr>
            <w:tcW w:w="2058" w:type="dxa"/>
            <w:tcBorders>
              <w:top w:val="nil"/>
              <w:left w:val="nil"/>
              <w:bottom w:val="single" w:sz="8" w:space="0" w:color="auto"/>
              <w:right w:val="single" w:sz="8" w:space="0" w:color="auto"/>
            </w:tcBorders>
            <w:shd w:val="clear" w:color="auto" w:fill="CCFFFF"/>
            <w:noWrap/>
            <w:vAlign w:val="bottom"/>
          </w:tcPr>
          <w:p w14:paraId="22671F95" w14:textId="77777777" w:rsidR="00E67545" w:rsidRPr="00853CCC" w:rsidRDefault="004D3BCF" w:rsidP="004D3BCF">
            <w:pPr>
              <w:jc w:val="right"/>
              <w:rPr>
                <w:rFonts w:ascii="Garamond" w:hAnsi="Garamond"/>
                <w:b/>
                <w:sz w:val="28"/>
                <w:szCs w:val="28"/>
              </w:rPr>
            </w:pPr>
            <w:r w:rsidRPr="00853CCC">
              <w:rPr>
                <w:rFonts w:ascii="Garamond" w:hAnsi="Garamond"/>
                <w:b/>
                <w:sz w:val="28"/>
                <w:szCs w:val="28"/>
              </w:rPr>
              <w:t>6.268.774</w:t>
            </w:r>
          </w:p>
        </w:tc>
        <w:tc>
          <w:tcPr>
            <w:tcW w:w="2052" w:type="dxa"/>
            <w:tcBorders>
              <w:top w:val="nil"/>
              <w:left w:val="nil"/>
              <w:bottom w:val="single" w:sz="8" w:space="0" w:color="auto"/>
              <w:right w:val="single" w:sz="8" w:space="0" w:color="auto"/>
            </w:tcBorders>
            <w:shd w:val="clear" w:color="auto" w:fill="CCFFFF"/>
            <w:noWrap/>
            <w:vAlign w:val="bottom"/>
          </w:tcPr>
          <w:p w14:paraId="69336D5F" w14:textId="77777777" w:rsidR="00E67545" w:rsidRPr="00853CCC" w:rsidRDefault="004D3BCF" w:rsidP="004D3BCF">
            <w:pPr>
              <w:jc w:val="center"/>
              <w:rPr>
                <w:rFonts w:ascii="Garamond" w:hAnsi="Garamond" w:cs="Arial TUR"/>
                <w:b/>
                <w:sz w:val="28"/>
                <w:szCs w:val="28"/>
              </w:rPr>
            </w:pPr>
            <w:r w:rsidRPr="00853CCC">
              <w:rPr>
                <w:rFonts w:ascii="Garamond" w:hAnsi="Garamond" w:cs="Arial TUR"/>
                <w:b/>
                <w:sz w:val="28"/>
                <w:szCs w:val="28"/>
              </w:rPr>
              <w:t>258,2</w:t>
            </w:r>
          </w:p>
        </w:tc>
      </w:tr>
      <w:tr w:rsidR="00E67545" w:rsidRPr="00780839" w14:paraId="7DE2D940" w14:textId="77777777" w:rsidTr="00D379CD">
        <w:trPr>
          <w:trHeight w:val="525"/>
        </w:trPr>
        <w:tc>
          <w:tcPr>
            <w:tcW w:w="3331" w:type="dxa"/>
            <w:tcBorders>
              <w:top w:val="nil"/>
              <w:left w:val="single" w:sz="8" w:space="0" w:color="auto"/>
              <w:bottom w:val="single" w:sz="8" w:space="0" w:color="auto"/>
              <w:right w:val="single" w:sz="8" w:space="0" w:color="auto"/>
            </w:tcBorders>
            <w:shd w:val="clear" w:color="auto" w:fill="CCFFFF"/>
            <w:noWrap/>
            <w:vAlign w:val="bottom"/>
          </w:tcPr>
          <w:p w14:paraId="5D737CD7" w14:textId="77777777" w:rsidR="00E67545" w:rsidRPr="00853CCC" w:rsidRDefault="00E67545" w:rsidP="006F7EB7">
            <w:pPr>
              <w:rPr>
                <w:rFonts w:ascii="Garamond" w:hAnsi="Garamond"/>
                <w:b/>
                <w:sz w:val="28"/>
                <w:szCs w:val="28"/>
              </w:rPr>
            </w:pPr>
            <w:r w:rsidRPr="00853CCC">
              <w:rPr>
                <w:rFonts w:ascii="Garamond" w:hAnsi="Garamond"/>
                <w:b/>
                <w:sz w:val="28"/>
                <w:szCs w:val="28"/>
              </w:rPr>
              <w:t>Genel Sekreterlik</w:t>
            </w:r>
          </w:p>
        </w:tc>
        <w:tc>
          <w:tcPr>
            <w:tcW w:w="1701" w:type="dxa"/>
            <w:tcBorders>
              <w:top w:val="nil"/>
              <w:left w:val="nil"/>
              <w:bottom w:val="single" w:sz="8" w:space="0" w:color="auto"/>
              <w:right w:val="single" w:sz="8" w:space="0" w:color="auto"/>
            </w:tcBorders>
            <w:shd w:val="clear" w:color="auto" w:fill="CCFFFF"/>
            <w:noWrap/>
            <w:vAlign w:val="bottom"/>
          </w:tcPr>
          <w:p w14:paraId="328926CA" w14:textId="77777777" w:rsidR="00E67545" w:rsidRPr="00853CCC" w:rsidRDefault="004D3BCF" w:rsidP="004D3BCF">
            <w:pPr>
              <w:jc w:val="right"/>
              <w:rPr>
                <w:rFonts w:ascii="Garamond" w:hAnsi="Garamond"/>
                <w:b/>
                <w:sz w:val="28"/>
                <w:szCs w:val="28"/>
              </w:rPr>
            </w:pPr>
            <w:r w:rsidRPr="00853CCC">
              <w:rPr>
                <w:rFonts w:ascii="Garamond" w:hAnsi="Garamond"/>
                <w:b/>
                <w:sz w:val="28"/>
                <w:szCs w:val="28"/>
              </w:rPr>
              <w:t>15.201.200</w:t>
            </w:r>
          </w:p>
        </w:tc>
        <w:tc>
          <w:tcPr>
            <w:tcW w:w="2058" w:type="dxa"/>
            <w:tcBorders>
              <w:top w:val="nil"/>
              <w:left w:val="nil"/>
              <w:bottom w:val="single" w:sz="8" w:space="0" w:color="auto"/>
              <w:right w:val="single" w:sz="8" w:space="0" w:color="auto"/>
            </w:tcBorders>
            <w:shd w:val="clear" w:color="auto" w:fill="CCFFFF"/>
            <w:noWrap/>
            <w:vAlign w:val="bottom"/>
          </w:tcPr>
          <w:p w14:paraId="52A1CF53" w14:textId="77777777" w:rsidR="00E67545" w:rsidRPr="00853CCC" w:rsidRDefault="004D3BCF" w:rsidP="004D3BCF">
            <w:pPr>
              <w:jc w:val="right"/>
              <w:rPr>
                <w:rFonts w:ascii="Garamond" w:hAnsi="Garamond"/>
                <w:b/>
                <w:sz w:val="28"/>
                <w:szCs w:val="28"/>
              </w:rPr>
            </w:pPr>
            <w:r w:rsidRPr="00853CCC">
              <w:rPr>
                <w:rFonts w:ascii="Garamond" w:hAnsi="Garamond"/>
                <w:b/>
                <w:sz w:val="28"/>
                <w:szCs w:val="28"/>
              </w:rPr>
              <w:t>10.242.252</w:t>
            </w:r>
          </w:p>
        </w:tc>
        <w:tc>
          <w:tcPr>
            <w:tcW w:w="2052" w:type="dxa"/>
            <w:tcBorders>
              <w:top w:val="nil"/>
              <w:left w:val="nil"/>
              <w:bottom w:val="single" w:sz="8" w:space="0" w:color="auto"/>
              <w:right w:val="single" w:sz="8" w:space="0" w:color="auto"/>
            </w:tcBorders>
            <w:shd w:val="clear" w:color="auto" w:fill="CCFFFF"/>
            <w:noWrap/>
            <w:vAlign w:val="bottom"/>
          </w:tcPr>
          <w:p w14:paraId="249B88FB" w14:textId="77777777" w:rsidR="00E67545" w:rsidRPr="00853CCC" w:rsidRDefault="004D3BCF" w:rsidP="004D3BCF">
            <w:pPr>
              <w:jc w:val="center"/>
              <w:rPr>
                <w:rFonts w:ascii="Garamond" w:hAnsi="Garamond" w:cs="Arial TUR"/>
                <w:b/>
                <w:sz w:val="28"/>
                <w:szCs w:val="28"/>
              </w:rPr>
            </w:pPr>
            <w:r w:rsidRPr="00853CCC">
              <w:rPr>
                <w:rFonts w:ascii="Garamond" w:hAnsi="Garamond" w:cs="Arial TUR"/>
                <w:b/>
                <w:sz w:val="28"/>
                <w:szCs w:val="28"/>
              </w:rPr>
              <w:t xml:space="preserve">   63,5</w:t>
            </w:r>
          </w:p>
        </w:tc>
      </w:tr>
      <w:tr w:rsidR="00E67545" w:rsidRPr="00780839" w14:paraId="603D2249" w14:textId="77777777" w:rsidTr="00D379CD">
        <w:trPr>
          <w:trHeight w:val="505"/>
        </w:trPr>
        <w:tc>
          <w:tcPr>
            <w:tcW w:w="3331" w:type="dxa"/>
            <w:tcBorders>
              <w:top w:val="nil"/>
              <w:left w:val="single" w:sz="8" w:space="0" w:color="auto"/>
              <w:bottom w:val="single" w:sz="8" w:space="0" w:color="auto"/>
              <w:right w:val="single" w:sz="8" w:space="0" w:color="auto"/>
            </w:tcBorders>
            <w:shd w:val="clear" w:color="auto" w:fill="CCFFFF"/>
            <w:noWrap/>
            <w:vAlign w:val="bottom"/>
          </w:tcPr>
          <w:p w14:paraId="02B564D0" w14:textId="77777777" w:rsidR="00E67545" w:rsidRPr="00853CCC" w:rsidRDefault="004D3BCF" w:rsidP="004D3BCF">
            <w:pPr>
              <w:rPr>
                <w:rFonts w:ascii="Garamond" w:hAnsi="Garamond"/>
                <w:b/>
                <w:sz w:val="28"/>
                <w:szCs w:val="28"/>
              </w:rPr>
            </w:pPr>
            <w:r w:rsidRPr="00853CCC">
              <w:rPr>
                <w:rFonts w:ascii="Garamond" w:hAnsi="Garamond"/>
                <w:b/>
                <w:sz w:val="28"/>
                <w:szCs w:val="28"/>
              </w:rPr>
              <w:t>Üniversitelerarası Kurul Başkanlığı</w:t>
            </w:r>
          </w:p>
        </w:tc>
        <w:tc>
          <w:tcPr>
            <w:tcW w:w="1701" w:type="dxa"/>
            <w:tcBorders>
              <w:top w:val="nil"/>
              <w:left w:val="nil"/>
              <w:bottom w:val="single" w:sz="8" w:space="0" w:color="auto"/>
              <w:right w:val="single" w:sz="8" w:space="0" w:color="auto"/>
            </w:tcBorders>
            <w:shd w:val="clear" w:color="auto" w:fill="CCFFFF"/>
            <w:noWrap/>
            <w:vAlign w:val="bottom"/>
          </w:tcPr>
          <w:p w14:paraId="03E93D15" w14:textId="77777777" w:rsidR="00E67545" w:rsidRPr="00853CCC" w:rsidRDefault="004D3BCF" w:rsidP="004D3BCF">
            <w:pPr>
              <w:jc w:val="right"/>
              <w:rPr>
                <w:rFonts w:ascii="Garamond" w:hAnsi="Garamond"/>
                <w:b/>
                <w:sz w:val="28"/>
                <w:szCs w:val="28"/>
              </w:rPr>
            </w:pPr>
            <w:r w:rsidRPr="00853CCC">
              <w:rPr>
                <w:rFonts w:ascii="Garamond" w:hAnsi="Garamond"/>
                <w:b/>
                <w:sz w:val="28"/>
                <w:szCs w:val="28"/>
              </w:rPr>
              <w:t>693.600</w:t>
            </w:r>
          </w:p>
        </w:tc>
        <w:tc>
          <w:tcPr>
            <w:tcW w:w="2058" w:type="dxa"/>
            <w:tcBorders>
              <w:top w:val="nil"/>
              <w:left w:val="nil"/>
              <w:bottom w:val="single" w:sz="8" w:space="0" w:color="auto"/>
              <w:right w:val="single" w:sz="8" w:space="0" w:color="auto"/>
            </w:tcBorders>
            <w:shd w:val="clear" w:color="auto" w:fill="CCFFFF"/>
            <w:noWrap/>
            <w:vAlign w:val="bottom"/>
          </w:tcPr>
          <w:p w14:paraId="25D906FB" w14:textId="77777777" w:rsidR="00E67545" w:rsidRPr="00853CCC" w:rsidRDefault="004D3BCF" w:rsidP="004D3BCF">
            <w:pPr>
              <w:jc w:val="right"/>
              <w:rPr>
                <w:rFonts w:ascii="Garamond" w:hAnsi="Garamond"/>
                <w:b/>
                <w:sz w:val="28"/>
                <w:szCs w:val="28"/>
              </w:rPr>
            </w:pPr>
            <w:r w:rsidRPr="00853CCC">
              <w:rPr>
                <w:rFonts w:ascii="Garamond" w:hAnsi="Garamond"/>
                <w:b/>
                <w:sz w:val="28"/>
                <w:szCs w:val="28"/>
              </w:rPr>
              <w:t>381.743</w:t>
            </w:r>
          </w:p>
        </w:tc>
        <w:tc>
          <w:tcPr>
            <w:tcW w:w="2052" w:type="dxa"/>
            <w:tcBorders>
              <w:top w:val="nil"/>
              <w:left w:val="nil"/>
              <w:bottom w:val="single" w:sz="8" w:space="0" w:color="auto"/>
              <w:right w:val="single" w:sz="8" w:space="0" w:color="auto"/>
            </w:tcBorders>
            <w:shd w:val="clear" w:color="auto" w:fill="CCFFFF"/>
            <w:noWrap/>
            <w:vAlign w:val="bottom"/>
          </w:tcPr>
          <w:p w14:paraId="11ED8612" w14:textId="77777777" w:rsidR="00E67545" w:rsidRPr="00853CCC" w:rsidRDefault="004D3BCF" w:rsidP="004D3BCF">
            <w:pPr>
              <w:jc w:val="center"/>
              <w:rPr>
                <w:rFonts w:ascii="Garamond" w:hAnsi="Garamond" w:cs="Arial TUR"/>
                <w:b/>
                <w:sz w:val="28"/>
                <w:szCs w:val="28"/>
              </w:rPr>
            </w:pPr>
            <w:r w:rsidRPr="00853CCC">
              <w:rPr>
                <w:rFonts w:ascii="Garamond" w:hAnsi="Garamond" w:cs="Arial TUR"/>
                <w:b/>
                <w:sz w:val="28"/>
                <w:szCs w:val="28"/>
              </w:rPr>
              <w:t xml:space="preserve">   55,2</w:t>
            </w:r>
          </w:p>
        </w:tc>
      </w:tr>
      <w:tr w:rsidR="00E67545" w:rsidRPr="00780839" w14:paraId="11115E7D" w14:textId="77777777" w:rsidTr="00D379CD">
        <w:trPr>
          <w:trHeight w:val="729"/>
        </w:trPr>
        <w:tc>
          <w:tcPr>
            <w:tcW w:w="3331"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459467E" w14:textId="77777777" w:rsidR="00E67545" w:rsidRPr="00853CCC" w:rsidRDefault="00E67545" w:rsidP="006F7EB7">
            <w:pPr>
              <w:rPr>
                <w:rFonts w:ascii="Garamond" w:hAnsi="Garamond"/>
                <w:b/>
                <w:sz w:val="28"/>
                <w:szCs w:val="28"/>
              </w:rPr>
            </w:pPr>
            <w:r w:rsidRPr="00853CCC">
              <w:rPr>
                <w:rFonts w:ascii="Garamond" w:hAnsi="Garamond"/>
                <w:b/>
                <w:sz w:val="28"/>
                <w:szCs w:val="28"/>
              </w:rPr>
              <w:t>GENEL TOPLAM</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14:paraId="0FF2043A" w14:textId="77777777" w:rsidR="00E67545" w:rsidRPr="00853CCC" w:rsidRDefault="004D3BCF" w:rsidP="0089084D">
            <w:pPr>
              <w:jc w:val="right"/>
              <w:rPr>
                <w:rFonts w:ascii="Garamond" w:hAnsi="Garamond"/>
                <w:b/>
                <w:sz w:val="28"/>
                <w:szCs w:val="28"/>
              </w:rPr>
            </w:pPr>
            <w:r w:rsidRPr="00853CCC">
              <w:rPr>
                <w:rFonts w:ascii="Garamond" w:hAnsi="Garamond"/>
                <w:b/>
                <w:sz w:val="28"/>
                <w:szCs w:val="28"/>
              </w:rPr>
              <w:t>18.316.000</w:t>
            </w:r>
          </w:p>
        </w:tc>
        <w:tc>
          <w:tcPr>
            <w:tcW w:w="2058" w:type="dxa"/>
            <w:tcBorders>
              <w:top w:val="single" w:sz="4" w:space="0" w:color="auto"/>
              <w:left w:val="nil"/>
              <w:bottom w:val="single" w:sz="4" w:space="0" w:color="auto"/>
              <w:right w:val="single" w:sz="4" w:space="0" w:color="auto"/>
            </w:tcBorders>
            <w:shd w:val="clear" w:color="auto" w:fill="FFFF00"/>
            <w:noWrap/>
            <w:vAlign w:val="bottom"/>
          </w:tcPr>
          <w:p w14:paraId="5298DE3D" w14:textId="77777777" w:rsidR="00E67545" w:rsidRPr="00853CCC" w:rsidRDefault="0089084D" w:rsidP="0089084D">
            <w:pPr>
              <w:jc w:val="right"/>
              <w:rPr>
                <w:rFonts w:ascii="Garamond" w:hAnsi="Garamond"/>
                <w:b/>
                <w:sz w:val="28"/>
                <w:szCs w:val="28"/>
              </w:rPr>
            </w:pPr>
            <w:r w:rsidRPr="00853CCC">
              <w:rPr>
                <w:rFonts w:ascii="Garamond" w:hAnsi="Garamond"/>
                <w:b/>
                <w:sz w:val="28"/>
                <w:szCs w:val="28"/>
              </w:rPr>
              <w:t>16.892.769</w:t>
            </w:r>
          </w:p>
        </w:tc>
        <w:tc>
          <w:tcPr>
            <w:tcW w:w="2052" w:type="dxa"/>
            <w:tcBorders>
              <w:top w:val="single" w:sz="4" w:space="0" w:color="auto"/>
              <w:left w:val="nil"/>
              <w:bottom w:val="single" w:sz="4" w:space="0" w:color="auto"/>
              <w:right w:val="single" w:sz="4" w:space="0" w:color="auto"/>
            </w:tcBorders>
            <w:shd w:val="clear" w:color="auto" w:fill="FFFF00"/>
            <w:noWrap/>
            <w:vAlign w:val="bottom"/>
          </w:tcPr>
          <w:p w14:paraId="4D92BAB4" w14:textId="77777777" w:rsidR="00E67545" w:rsidRPr="00853CCC" w:rsidRDefault="0089084D" w:rsidP="004D3BCF">
            <w:pPr>
              <w:jc w:val="center"/>
              <w:rPr>
                <w:rFonts w:ascii="Garamond" w:hAnsi="Garamond" w:cs="Arial TUR"/>
                <w:b/>
                <w:sz w:val="28"/>
                <w:szCs w:val="28"/>
              </w:rPr>
            </w:pPr>
            <w:r w:rsidRPr="00853CCC">
              <w:rPr>
                <w:rFonts w:ascii="Garamond" w:hAnsi="Garamond" w:cs="Arial TUR"/>
                <w:b/>
                <w:sz w:val="28"/>
                <w:szCs w:val="28"/>
              </w:rPr>
              <w:t>----</w:t>
            </w:r>
          </w:p>
        </w:tc>
      </w:tr>
    </w:tbl>
    <w:p w14:paraId="6262A5BE" w14:textId="77777777" w:rsidR="00E67545" w:rsidRDefault="00E67545" w:rsidP="00E67545">
      <w:pPr>
        <w:pStyle w:val="GvdeMetni"/>
        <w:ind w:firstLine="708"/>
        <w:jc w:val="both"/>
        <w:rPr>
          <w:rFonts w:ascii="Garamond" w:hAnsi="Garamond"/>
          <w:b/>
          <w:bCs/>
          <w:color w:val="333399"/>
          <w:sz w:val="28"/>
          <w:szCs w:val="28"/>
        </w:rPr>
      </w:pPr>
    </w:p>
    <w:p w14:paraId="7D7D5D09" w14:textId="77777777" w:rsidR="0089084D" w:rsidRDefault="0089084D" w:rsidP="00E67545">
      <w:pPr>
        <w:pStyle w:val="GvdeMetni"/>
        <w:ind w:firstLine="708"/>
        <w:jc w:val="both"/>
        <w:rPr>
          <w:rFonts w:ascii="Garamond" w:hAnsi="Garamond"/>
          <w:b/>
          <w:bCs/>
          <w:color w:val="333399"/>
          <w:sz w:val="28"/>
          <w:szCs w:val="28"/>
        </w:rPr>
      </w:pPr>
    </w:p>
    <w:p w14:paraId="4D671B81" w14:textId="77777777" w:rsidR="0089084D" w:rsidRDefault="0089084D" w:rsidP="00E67545">
      <w:pPr>
        <w:pStyle w:val="GvdeMetni"/>
        <w:ind w:firstLine="708"/>
        <w:jc w:val="both"/>
        <w:rPr>
          <w:rFonts w:ascii="Garamond" w:hAnsi="Garamond"/>
          <w:b/>
          <w:bCs/>
          <w:color w:val="333399"/>
          <w:sz w:val="28"/>
          <w:szCs w:val="28"/>
        </w:rPr>
      </w:pPr>
    </w:p>
    <w:p w14:paraId="0796F9CF" w14:textId="77777777" w:rsidR="0089084D" w:rsidRPr="00D379CD" w:rsidRDefault="00D379CD" w:rsidP="00D379CD">
      <w:pPr>
        <w:pStyle w:val="GvdeMetni"/>
        <w:spacing w:before="120" w:after="120" w:line="312" w:lineRule="auto"/>
        <w:ind w:right="-288" w:firstLine="708"/>
        <w:jc w:val="both"/>
        <w:rPr>
          <w:rFonts w:ascii="Garamond" w:hAnsi="Garamond"/>
          <w:b/>
          <w:sz w:val="28"/>
          <w:szCs w:val="28"/>
        </w:rPr>
      </w:pPr>
      <w:r w:rsidRPr="00D379CD">
        <w:rPr>
          <w:rFonts w:ascii="Garamond" w:hAnsi="Garamond"/>
          <w:b/>
          <w:sz w:val="28"/>
          <w:szCs w:val="28"/>
        </w:rPr>
        <w:lastRenderedPageBreak/>
        <w:t xml:space="preserve">B. </w:t>
      </w:r>
      <w:r w:rsidR="0089084D" w:rsidRPr="00D379CD">
        <w:rPr>
          <w:rFonts w:ascii="Garamond" w:hAnsi="Garamond"/>
          <w:b/>
          <w:sz w:val="28"/>
          <w:szCs w:val="28"/>
        </w:rPr>
        <w:t>Bütçe Gelirleri</w:t>
      </w:r>
    </w:p>
    <w:p w14:paraId="45FA3ACA" w14:textId="77777777" w:rsidR="00D379CD" w:rsidRDefault="00D379CD" w:rsidP="00D379CD">
      <w:pPr>
        <w:pStyle w:val="GvdeMetni"/>
        <w:spacing w:before="120" w:after="120" w:line="312" w:lineRule="auto"/>
        <w:ind w:right="-288" w:firstLine="708"/>
        <w:jc w:val="both"/>
        <w:rPr>
          <w:rFonts w:ascii="Garamond" w:hAnsi="Garamond"/>
          <w:sz w:val="28"/>
          <w:szCs w:val="28"/>
        </w:rPr>
      </w:pPr>
    </w:p>
    <w:p w14:paraId="2BAE20E4" w14:textId="77777777" w:rsidR="0089084D" w:rsidRPr="00D379CD" w:rsidRDefault="0089084D"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2010 Mali yılı Ocak-Haziran dönemi itibariyle bütçe gelirleri toplam 321.788.712 TL. olarak gerçekleşmiş olup, 200</w:t>
      </w:r>
      <w:r w:rsidR="00853CCC" w:rsidRPr="00D379CD">
        <w:rPr>
          <w:rFonts w:ascii="Garamond" w:hAnsi="Garamond"/>
          <w:sz w:val="28"/>
          <w:szCs w:val="28"/>
        </w:rPr>
        <w:t>9</w:t>
      </w:r>
      <w:r w:rsidRPr="00D379CD">
        <w:rPr>
          <w:rFonts w:ascii="Garamond" w:hAnsi="Garamond"/>
          <w:sz w:val="28"/>
          <w:szCs w:val="28"/>
        </w:rPr>
        <w:t xml:space="preserve"> yılı Ocak-Haziran dönemine göre gerçekleşme oranı % </w:t>
      </w:r>
      <w:r w:rsidR="00853CCC" w:rsidRPr="00D379CD">
        <w:rPr>
          <w:rFonts w:ascii="Garamond" w:hAnsi="Garamond"/>
          <w:sz w:val="28"/>
          <w:szCs w:val="28"/>
        </w:rPr>
        <w:t>2.529.387,7</w:t>
      </w:r>
      <w:r w:rsidRPr="00D379CD">
        <w:rPr>
          <w:rFonts w:ascii="Garamond" w:hAnsi="Garamond"/>
          <w:sz w:val="28"/>
          <w:szCs w:val="28"/>
        </w:rPr>
        <w:t xml:space="preserve"> d</w:t>
      </w:r>
      <w:r w:rsidR="00853CCC" w:rsidRPr="00D379CD">
        <w:rPr>
          <w:rFonts w:ascii="Garamond" w:hAnsi="Garamond"/>
          <w:sz w:val="28"/>
          <w:szCs w:val="28"/>
        </w:rPr>
        <w:t>i</w:t>
      </w:r>
      <w:r w:rsidRPr="00D379CD">
        <w:rPr>
          <w:rFonts w:ascii="Garamond" w:hAnsi="Garamond"/>
          <w:sz w:val="28"/>
          <w:szCs w:val="28"/>
        </w:rPr>
        <w:t>r. Bütçe gelirlerinde ki artış oranının bir önceki yılın aynı dönemine göre yüksek olmasının sebebi 5772 sayılı Yükseköğretim Kanununda Değişiklik Yapılmasına Dair Kanun ile Öğrenci Seçme ve Yerleştirme Merkezinin 2008 yılından devreden finansman fazlasının yüzde % 25’inin Kurulumuz bütçesine öz gelir olarak eklenmiş olmasıdır.</w:t>
      </w:r>
    </w:p>
    <w:p w14:paraId="52308592" w14:textId="77777777" w:rsidR="0089084D" w:rsidRPr="00D379CD" w:rsidRDefault="0089084D"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Aynı döneme ait ekonomik sınıflandırmanın birinci düzeyinde yer alan gelir gurupları itibariyle gerçekleşme rakamları ve gelirlerin gelişimine ait tablo raporun (2) nolu ekinde yer almaktadır.</w:t>
      </w:r>
    </w:p>
    <w:p w14:paraId="2A811B77" w14:textId="77777777" w:rsidR="0089084D" w:rsidRPr="00D379CD" w:rsidRDefault="0089084D" w:rsidP="00D379CD">
      <w:pPr>
        <w:pStyle w:val="GvdeMetni"/>
        <w:spacing w:before="120" w:after="120" w:line="312" w:lineRule="auto"/>
        <w:ind w:right="-2" w:firstLine="708"/>
        <w:jc w:val="both"/>
        <w:rPr>
          <w:rFonts w:ascii="Garamond" w:hAnsi="Garamond"/>
          <w:sz w:val="28"/>
          <w:szCs w:val="28"/>
        </w:rPr>
      </w:pPr>
    </w:p>
    <w:p w14:paraId="36076D83" w14:textId="77777777" w:rsidR="00E67545" w:rsidRPr="00D379CD" w:rsidRDefault="00E67545" w:rsidP="00D379CD">
      <w:pPr>
        <w:pStyle w:val="GvdeMetni"/>
        <w:spacing w:before="120" w:after="120" w:line="312" w:lineRule="auto"/>
        <w:ind w:right="-2" w:firstLine="708"/>
        <w:jc w:val="both"/>
        <w:rPr>
          <w:rFonts w:ascii="Arial" w:hAnsi="Arial" w:cs="Arial"/>
          <w:b/>
          <w:sz w:val="28"/>
          <w:szCs w:val="28"/>
        </w:rPr>
      </w:pPr>
      <w:r w:rsidRPr="00D379CD">
        <w:rPr>
          <w:rFonts w:ascii="Arial" w:hAnsi="Arial" w:cs="Arial"/>
          <w:b/>
          <w:sz w:val="28"/>
          <w:szCs w:val="28"/>
        </w:rPr>
        <w:t xml:space="preserve">II- OCAK-HAZİRAN </w:t>
      </w:r>
      <w:r w:rsidR="00AA335D" w:rsidRPr="00D379CD">
        <w:rPr>
          <w:rFonts w:ascii="Arial" w:hAnsi="Arial" w:cs="Arial"/>
          <w:b/>
          <w:sz w:val="28"/>
          <w:szCs w:val="28"/>
        </w:rPr>
        <w:t>20</w:t>
      </w:r>
      <w:r w:rsidR="00562D90" w:rsidRPr="00D379CD">
        <w:rPr>
          <w:rFonts w:ascii="Arial" w:hAnsi="Arial" w:cs="Arial"/>
          <w:b/>
          <w:sz w:val="28"/>
          <w:szCs w:val="28"/>
        </w:rPr>
        <w:t>10</w:t>
      </w:r>
      <w:r w:rsidR="00AA335D" w:rsidRPr="00D379CD">
        <w:rPr>
          <w:rFonts w:ascii="Arial" w:hAnsi="Arial" w:cs="Arial"/>
          <w:b/>
          <w:sz w:val="28"/>
          <w:szCs w:val="28"/>
        </w:rPr>
        <w:t xml:space="preserve"> </w:t>
      </w:r>
      <w:r w:rsidRPr="00D379CD">
        <w:rPr>
          <w:rFonts w:ascii="Arial" w:hAnsi="Arial" w:cs="Arial"/>
          <w:b/>
          <w:sz w:val="28"/>
          <w:szCs w:val="28"/>
        </w:rPr>
        <w:t>DÖNEMİNDE YÜRÜTÜLEN FAALİYETLER</w:t>
      </w:r>
    </w:p>
    <w:p w14:paraId="560106CA" w14:textId="77777777" w:rsidR="00E67545" w:rsidRPr="00D379CD" w:rsidRDefault="00E67545" w:rsidP="00D379CD">
      <w:pPr>
        <w:pStyle w:val="GvdeMetni"/>
        <w:spacing w:before="120" w:after="120" w:line="312" w:lineRule="auto"/>
        <w:ind w:right="-2" w:firstLine="708"/>
        <w:jc w:val="both"/>
        <w:rPr>
          <w:rFonts w:ascii="Garamond" w:hAnsi="Garamond"/>
          <w:sz w:val="28"/>
          <w:szCs w:val="28"/>
        </w:rPr>
      </w:pPr>
    </w:p>
    <w:p w14:paraId="006E692D"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Yükseköğretim Kurulu, 2547 sayılı Kanunda belirlenen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kısa ve uzun vadeli planların hazırlanması, üniversitelere tahsis edilen kaynakların, bu plan ve programlar çerçevesinde etkili bir biçimde kullanılmasında gözetim ve denetimin yapılması ile ilgili faaliyetlerin yürütülmesine bu dönem içerisinde de devam edilmiştir.</w:t>
      </w:r>
    </w:p>
    <w:p w14:paraId="26C58524" w14:textId="77777777" w:rsidR="00E67545" w:rsidRPr="00D379CD" w:rsidRDefault="00E67545" w:rsidP="00D379CD">
      <w:pPr>
        <w:pStyle w:val="GvdeMetni"/>
        <w:spacing w:before="120" w:after="120" w:line="312" w:lineRule="auto"/>
        <w:ind w:right="-2" w:firstLine="708"/>
        <w:jc w:val="both"/>
        <w:rPr>
          <w:rFonts w:ascii="Garamond" w:hAnsi="Garamond"/>
          <w:sz w:val="28"/>
          <w:szCs w:val="28"/>
        </w:rPr>
      </w:pPr>
    </w:p>
    <w:p w14:paraId="02918CDA" w14:textId="77777777" w:rsidR="00A4013A" w:rsidRDefault="00A4013A" w:rsidP="00D379CD">
      <w:pPr>
        <w:pStyle w:val="GvdeMetni"/>
        <w:spacing w:before="120" w:after="120" w:line="312" w:lineRule="auto"/>
        <w:ind w:right="-2" w:firstLine="708"/>
        <w:jc w:val="both"/>
        <w:rPr>
          <w:rFonts w:ascii="Garamond" w:hAnsi="Garamond"/>
          <w:sz w:val="28"/>
          <w:szCs w:val="28"/>
        </w:rPr>
      </w:pPr>
    </w:p>
    <w:p w14:paraId="24D52CD9" w14:textId="77777777" w:rsidR="003F18C8" w:rsidRDefault="003F18C8" w:rsidP="00D379CD">
      <w:pPr>
        <w:pStyle w:val="GvdeMetni"/>
        <w:spacing w:before="120" w:after="120" w:line="312" w:lineRule="auto"/>
        <w:ind w:right="-2" w:firstLine="708"/>
        <w:jc w:val="both"/>
        <w:rPr>
          <w:rFonts w:ascii="Garamond" w:hAnsi="Garamond"/>
          <w:sz w:val="28"/>
          <w:szCs w:val="28"/>
        </w:rPr>
      </w:pPr>
    </w:p>
    <w:p w14:paraId="21265205" w14:textId="77777777" w:rsidR="003F18C8" w:rsidRDefault="003F18C8" w:rsidP="00D379CD">
      <w:pPr>
        <w:pStyle w:val="GvdeMetni"/>
        <w:spacing w:before="120" w:after="120" w:line="312" w:lineRule="auto"/>
        <w:ind w:right="-2" w:firstLine="708"/>
        <w:jc w:val="both"/>
        <w:rPr>
          <w:rFonts w:ascii="Garamond" w:hAnsi="Garamond"/>
          <w:sz w:val="28"/>
          <w:szCs w:val="28"/>
        </w:rPr>
      </w:pPr>
    </w:p>
    <w:p w14:paraId="56256018" w14:textId="77777777" w:rsidR="003F18C8" w:rsidRPr="00D379CD" w:rsidRDefault="003F18C8" w:rsidP="00D379CD">
      <w:pPr>
        <w:pStyle w:val="GvdeMetni"/>
        <w:spacing w:before="120" w:after="120" w:line="312" w:lineRule="auto"/>
        <w:ind w:right="-2" w:firstLine="708"/>
        <w:jc w:val="both"/>
        <w:rPr>
          <w:rFonts w:ascii="Garamond" w:hAnsi="Garamond"/>
          <w:sz w:val="28"/>
          <w:szCs w:val="28"/>
        </w:rPr>
      </w:pPr>
    </w:p>
    <w:p w14:paraId="72E46BD8" w14:textId="77777777" w:rsidR="0059246A" w:rsidRPr="00D379CD" w:rsidRDefault="0059246A" w:rsidP="00D379CD">
      <w:pPr>
        <w:pStyle w:val="GvdeMetni"/>
        <w:spacing w:before="120" w:after="120" w:line="312" w:lineRule="auto"/>
        <w:ind w:right="-2" w:firstLine="708"/>
        <w:jc w:val="both"/>
        <w:rPr>
          <w:rFonts w:ascii="Garamond" w:hAnsi="Garamond"/>
          <w:sz w:val="28"/>
          <w:szCs w:val="28"/>
        </w:rPr>
      </w:pPr>
    </w:p>
    <w:p w14:paraId="400A2E03" w14:textId="77777777" w:rsidR="00E67545" w:rsidRPr="00D379CD" w:rsidRDefault="00E67545" w:rsidP="00D379CD">
      <w:pPr>
        <w:pStyle w:val="GvdeMetni"/>
        <w:numPr>
          <w:ilvl w:val="0"/>
          <w:numId w:val="4"/>
        </w:numPr>
        <w:spacing w:before="120" w:after="120" w:line="312" w:lineRule="auto"/>
        <w:ind w:left="1134" w:right="-2" w:hanging="425"/>
        <w:jc w:val="both"/>
        <w:rPr>
          <w:rFonts w:ascii="Arial" w:hAnsi="Arial" w:cs="Arial"/>
          <w:b/>
          <w:sz w:val="28"/>
          <w:szCs w:val="28"/>
        </w:rPr>
      </w:pPr>
      <w:r w:rsidRPr="00D379CD">
        <w:rPr>
          <w:rFonts w:ascii="Arial" w:hAnsi="Arial" w:cs="Arial"/>
          <w:b/>
          <w:sz w:val="28"/>
          <w:szCs w:val="28"/>
        </w:rPr>
        <w:lastRenderedPageBreak/>
        <w:t>TEMMUZ-ARALIK 20</w:t>
      </w:r>
      <w:r w:rsidR="00562D90" w:rsidRPr="00D379CD">
        <w:rPr>
          <w:rFonts w:ascii="Arial" w:hAnsi="Arial" w:cs="Arial"/>
          <w:b/>
          <w:sz w:val="28"/>
          <w:szCs w:val="28"/>
        </w:rPr>
        <w:t>10</w:t>
      </w:r>
      <w:r w:rsidRPr="00D379CD">
        <w:rPr>
          <w:rFonts w:ascii="Arial" w:hAnsi="Arial" w:cs="Arial"/>
          <w:b/>
          <w:sz w:val="28"/>
          <w:szCs w:val="28"/>
        </w:rPr>
        <w:t xml:space="preserve"> DÖNEMİNE İLİŞKİN</w:t>
      </w:r>
      <w:r w:rsidR="00562D90" w:rsidRPr="00D379CD">
        <w:rPr>
          <w:rFonts w:ascii="Arial" w:hAnsi="Arial" w:cs="Arial"/>
          <w:b/>
          <w:sz w:val="28"/>
          <w:szCs w:val="28"/>
        </w:rPr>
        <w:t xml:space="preserve"> </w:t>
      </w:r>
      <w:r w:rsidRPr="00D379CD">
        <w:rPr>
          <w:rFonts w:ascii="Arial" w:hAnsi="Arial" w:cs="Arial"/>
          <w:b/>
          <w:sz w:val="28"/>
          <w:szCs w:val="28"/>
        </w:rPr>
        <w:t>BEKLENT</w:t>
      </w:r>
      <w:r w:rsidR="00D379CD">
        <w:rPr>
          <w:rFonts w:ascii="Arial" w:hAnsi="Arial" w:cs="Arial"/>
          <w:b/>
          <w:sz w:val="28"/>
          <w:szCs w:val="28"/>
        </w:rPr>
        <w:t xml:space="preserve">İLER VE    </w:t>
      </w:r>
      <w:r w:rsidRPr="00D379CD">
        <w:rPr>
          <w:rFonts w:ascii="Arial" w:hAnsi="Arial" w:cs="Arial"/>
          <w:b/>
          <w:sz w:val="28"/>
          <w:szCs w:val="28"/>
        </w:rPr>
        <w:t>HEDEFLER</w:t>
      </w:r>
    </w:p>
    <w:p w14:paraId="6193FC55" w14:textId="77777777" w:rsidR="00D379CD" w:rsidRPr="00D379CD" w:rsidRDefault="00D379CD" w:rsidP="00D379CD">
      <w:pPr>
        <w:pStyle w:val="GvdeMetni"/>
        <w:spacing w:before="120" w:after="120" w:line="312" w:lineRule="auto"/>
        <w:ind w:right="-2" w:firstLine="708"/>
        <w:jc w:val="both"/>
        <w:rPr>
          <w:rFonts w:ascii="Garamond" w:hAnsi="Garamond"/>
          <w:sz w:val="28"/>
          <w:szCs w:val="28"/>
        </w:rPr>
      </w:pPr>
    </w:p>
    <w:p w14:paraId="05444184"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Kurulumuz 2010 Mali yılı Temmuz-Aralık dönemi, gerçekleşmesi tahmin edilen toplam gider tutarı 1.423.231  TL’dir. Bu tutarların ekonomik sınıflandırmanın birinci düzeyinde yer alan gider türleri itibariyle dağılımı ve yıl sonu tahminleri, rapor ekinde yer alan (1) ve (2) nolu tablolarda gösterilmiştir.</w:t>
      </w:r>
    </w:p>
    <w:p w14:paraId="2692295D"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p>
    <w:p w14:paraId="5049A868"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xml:space="preserve">Ayrıca 2547 sayılı Yükseköğretim Kanunu’na 18.06.2008 tarihli ve 5772 sayılı Kanun ile  eklenen 10 uncu maddesinin son fıkrasında yer alan hüküm gereğince, Kurulumuz bütçesine öz gelir olarak eklenmiş olan Öğrenci Seçme ve Yerleştirme Merkezinin 2009 yılından devreden finansman fazlasının %25’ inden araştırma görevlilerinin yurtdışı doktora eğitimlerini desteklemek amacıyla yurtdışı bursu verilebilmesi için ilgili üniversitelere ihtiyaçları oranında aktarma yapılacaktır. </w:t>
      </w:r>
    </w:p>
    <w:p w14:paraId="34CE6C88"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p>
    <w:p w14:paraId="6E267392"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14:paraId="542CA3E5"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p>
    <w:p w14:paraId="4F986BC5"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Ayrıca;</w:t>
      </w:r>
    </w:p>
    <w:p w14:paraId="256B4DC5"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Kaliteli eğitim-öğretim sunan,</w:t>
      </w:r>
    </w:p>
    <w:p w14:paraId="209332F2"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Bilimsel araştırma yapan,</w:t>
      </w:r>
    </w:p>
    <w:p w14:paraId="4A16201E"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xml:space="preserve">- Teknolojik ve bilimsel gelişmelerin öncülüğünü yapan, </w:t>
      </w:r>
    </w:p>
    <w:p w14:paraId="4DDAED33"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xml:space="preserve">- Toplumun ekonomik ve kültürel kalkınmasına katkıda bulunan, </w:t>
      </w:r>
    </w:p>
    <w:p w14:paraId="62CA903F" w14:textId="77777777" w:rsidR="00853CCC" w:rsidRDefault="00853CCC" w:rsidP="00D379CD">
      <w:pPr>
        <w:pStyle w:val="GvdeMetni"/>
        <w:spacing w:before="120" w:after="120" w:line="312" w:lineRule="auto"/>
        <w:ind w:right="-2" w:firstLine="708"/>
        <w:jc w:val="both"/>
        <w:rPr>
          <w:rFonts w:ascii="Garamond" w:hAnsi="Garamond"/>
          <w:sz w:val="28"/>
          <w:szCs w:val="28"/>
        </w:rPr>
      </w:pPr>
    </w:p>
    <w:p w14:paraId="100CAF1C" w14:textId="77777777" w:rsidR="000822B4" w:rsidRDefault="000822B4" w:rsidP="00D379CD">
      <w:pPr>
        <w:pStyle w:val="GvdeMetni"/>
        <w:spacing w:before="120" w:after="120" w:line="312" w:lineRule="auto"/>
        <w:ind w:right="-2" w:firstLine="708"/>
        <w:jc w:val="both"/>
        <w:rPr>
          <w:rFonts w:ascii="Garamond" w:hAnsi="Garamond"/>
          <w:sz w:val="28"/>
          <w:szCs w:val="28"/>
        </w:rPr>
      </w:pPr>
    </w:p>
    <w:p w14:paraId="51A68011" w14:textId="77777777" w:rsidR="000822B4" w:rsidRDefault="000822B4" w:rsidP="00D379CD">
      <w:pPr>
        <w:pStyle w:val="GvdeMetni"/>
        <w:spacing w:before="120" w:after="120" w:line="312" w:lineRule="auto"/>
        <w:ind w:right="-2" w:firstLine="708"/>
        <w:jc w:val="both"/>
        <w:rPr>
          <w:rFonts w:ascii="Garamond" w:hAnsi="Garamond"/>
          <w:sz w:val="28"/>
          <w:szCs w:val="28"/>
        </w:rPr>
      </w:pPr>
    </w:p>
    <w:p w14:paraId="7B8BDD2C" w14:textId="77777777" w:rsidR="000822B4" w:rsidRPr="00D379CD" w:rsidRDefault="000822B4" w:rsidP="00D379CD">
      <w:pPr>
        <w:pStyle w:val="GvdeMetni"/>
        <w:spacing w:before="120" w:after="120" w:line="312" w:lineRule="auto"/>
        <w:ind w:right="-2" w:firstLine="708"/>
        <w:jc w:val="both"/>
        <w:rPr>
          <w:rFonts w:ascii="Garamond" w:hAnsi="Garamond"/>
          <w:sz w:val="28"/>
          <w:szCs w:val="28"/>
        </w:rPr>
      </w:pPr>
    </w:p>
    <w:p w14:paraId="3FB0C863" w14:textId="77777777" w:rsidR="00D379CD"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lastRenderedPageBreak/>
        <w:t xml:space="preserve">- Araştırma ve proje yürütücülüğü hizmetlerini en iyi şekilde sunan, </w:t>
      </w:r>
    </w:p>
    <w:p w14:paraId="7C044AEA" w14:textId="77777777" w:rsidR="00853CCC" w:rsidRDefault="00D379CD" w:rsidP="00D379CD">
      <w:pPr>
        <w:pStyle w:val="GvdeMetni"/>
        <w:spacing w:before="120" w:after="120" w:line="312" w:lineRule="auto"/>
        <w:ind w:right="-2" w:firstLine="708"/>
        <w:jc w:val="both"/>
        <w:rPr>
          <w:rFonts w:ascii="Garamond" w:hAnsi="Garamond"/>
          <w:sz w:val="28"/>
          <w:szCs w:val="28"/>
        </w:rPr>
      </w:pPr>
      <w:r>
        <w:rPr>
          <w:rFonts w:ascii="Garamond" w:hAnsi="Garamond"/>
          <w:sz w:val="28"/>
          <w:szCs w:val="28"/>
        </w:rPr>
        <w:t xml:space="preserve">  </w:t>
      </w:r>
      <w:r w:rsidR="00853CCC" w:rsidRPr="00D379CD">
        <w:rPr>
          <w:rFonts w:ascii="Garamond" w:hAnsi="Garamond"/>
          <w:sz w:val="28"/>
          <w:szCs w:val="28"/>
        </w:rPr>
        <w:t>bir yükseköğretim sistemi oluşturulması,</w:t>
      </w:r>
    </w:p>
    <w:p w14:paraId="4BBAE1C0" w14:textId="77777777" w:rsidR="00853CCC" w:rsidRPr="00D379CD" w:rsidRDefault="00D379CD" w:rsidP="00D379CD">
      <w:pPr>
        <w:pStyle w:val="GvdeMetni"/>
        <w:spacing w:before="120" w:after="120" w:line="312" w:lineRule="auto"/>
        <w:ind w:right="-2" w:firstLine="708"/>
        <w:jc w:val="both"/>
        <w:rPr>
          <w:rFonts w:ascii="Garamond" w:hAnsi="Garamond"/>
          <w:sz w:val="28"/>
          <w:szCs w:val="28"/>
        </w:rPr>
      </w:pPr>
      <w:r>
        <w:rPr>
          <w:rFonts w:ascii="Garamond" w:hAnsi="Garamond"/>
          <w:sz w:val="28"/>
          <w:szCs w:val="28"/>
        </w:rPr>
        <w:t xml:space="preserve">  </w:t>
      </w:r>
      <w:r w:rsidR="00853CCC" w:rsidRPr="00D379CD">
        <w:rPr>
          <w:rFonts w:ascii="Garamond" w:hAnsi="Garamond"/>
          <w:sz w:val="28"/>
          <w:szCs w:val="28"/>
        </w:rPr>
        <w:t>yükseköğretim kurumlarında öğretim elemanı açığının giderilmesi ve üniversitelerin eğitim-öğretim bilimsel araştırma ve yayın faaliyetlerinin koordine edilmesi hedeflerimiz arasında yer almaktadır.</w:t>
      </w:r>
    </w:p>
    <w:p w14:paraId="5B736E92" w14:textId="77777777" w:rsidR="00853CCC" w:rsidRPr="00D379CD" w:rsidRDefault="00D379CD" w:rsidP="00D379CD">
      <w:pPr>
        <w:pStyle w:val="GvdeMetni"/>
        <w:spacing w:before="120" w:after="120" w:line="312" w:lineRule="auto"/>
        <w:ind w:right="-2" w:firstLine="708"/>
        <w:jc w:val="both"/>
        <w:rPr>
          <w:rFonts w:ascii="Garamond" w:hAnsi="Garamond"/>
          <w:sz w:val="28"/>
          <w:szCs w:val="28"/>
        </w:rPr>
      </w:pPr>
      <w:r>
        <w:rPr>
          <w:rFonts w:ascii="Garamond" w:hAnsi="Garamond"/>
          <w:sz w:val="28"/>
          <w:szCs w:val="28"/>
        </w:rPr>
        <w:t xml:space="preserve">   </w:t>
      </w:r>
      <w:r w:rsidR="00853CCC" w:rsidRPr="00D379CD">
        <w:rPr>
          <w:rFonts w:ascii="Garamond" w:hAnsi="Garamond"/>
          <w:sz w:val="28"/>
          <w:szCs w:val="28"/>
        </w:rPr>
        <w:t>Kamuoyunun bilgisine sunulur.</w:t>
      </w:r>
      <w:r w:rsidR="00853CCC" w:rsidRPr="00D379CD">
        <w:rPr>
          <w:rFonts w:ascii="Garamond" w:hAnsi="Garamond"/>
          <w:sz w:val="28"/>
          <w:szCs w:val="28"/>
        </w:rPr>
        <w:tab/>
      </w:r>
      <w:r w:rsidR="00853CCC" w:rsidRPr="00D379CD">
        <w:rPr>
          <w:rFonts w:ascii="Garamond" w:hAnsi="Garamond"/>
          <w:sz w:val="28"/>
          <w:szCs w:val="28"/>
        </w:rPr>
        <w:tab/>
      </w:r>
    </w:p>
    <w:p w14:paraId="7665BF7C"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p>
    <w:p w14:paraId="38700031"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r w:rsidRPr="00D379CD">
        <w:rPr>
          <w:rFonts w:ascii="Garamond" w:hAnsi="Garamond"/>
          <w:sz w:val="28"/>
          <w:szCs w:val="28"/>
        </w:rPr>
        <w:tab/>
      </w:r>
    </w:p>
    <w:p w14:paraId="3BC4334A"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p>
    <w:p w14:paraId="70F06F67"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xml:space="preserve">EK: 1-Bütçe Giderlerinin Gelişimi Tablosu </w:t>
      </w:r>
    </w:p>
    <w:p w14:paraId="52EEB43C"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r w:rsidRPr="00D379CD">
        <w:rPr>
          <w:rFonts w:ascii="Garamond" w:hAnsi="Garamond"/>
          <w:sz w:val="28"/>
          <w:szCs w:val="28"/>
        </w:rPr>
        <w:t xml:space="preserve">        2-Bütçe  Gelirlerinin Gelişimi Tablosu</w:t>
      </w:r>
    </w:p>
    <w:p w14:paraId="2A853857" w14:textId="77777777" w:rsidR="00853CCC" w:rsidRPr="00D379CD" w:rsidRDefault="00853CCC" w:rsidP="00D379CD">
      <w:pPr>
        <w:pStyle w:val="GvdeMetni"/>
        <w:spacing w:before="120" w:after="120" w:line="312" w:lineRule="auto"/>
        <w:ind w:right="-2" w:firstLine="708"/>
        <w:jc w:val="both"/>
        <w:rPr>
          <w:rFonts w:ascii="Garamond" w:hAnsi="Garamond"/>
          <w:sz w:val="28"/>
          <w:szCs w:val="28"/>
        </w:rPr>
      </w:pPr>
    </w:p>
    <w:sectPr w:rsidR="00853CCC" w:rsidRPr="00D379CD" w:rsidSect="00D379CD">
      <w:footerReference w:type="even" r:id="rId10"/>
      <w:footerReference w:type="default" r:id="rId11"/>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349A" w14:textId="77777777" w:rsidR="00DE4DB6" w:rsidRDefault="00DE4DB6">
      <w:r>
        <w:separator/>
      </w:r>
    </w:p>
  </w:endnote>
  <w:endnote w:type="continuationSeparator" w:id="0">
    <w:p w14:paraId="1DE74130" w14:textId="77777777" w:rsidR="00DE4DB6" w:rsidRDefault="00DE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EDB7"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E3F7054" w14:textId="77777777" w:rsidR="006F7635" w:rsidRDefault="006F7635" w:rsidP="006F76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932D"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822B4">
      <w:rPr>
        <w:rStyle w:val="SayfaNumaras"/>
        <w:noProof/>
      </w:rPr>
      <w:t>1</w:t>
    </w:r>
    <w:r>
      <w:rPr>
        <w:rStyle w:val="SayfaNumaras"/>
      </w:rPr>
      <w:fldChar w:fldCharType="end"/>
    </w:r>
  </w:p>
  <w:p w14:paraId="41B01A03" w14:textId="77777777" w:rsidR="006F7635" w:rsidRDefault="006F7635" w:rsidP="006F763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6FED" w14:textId="77777777" w:rsidR="00DE4DB6" w:rsidRDefault="00DE4DB6">
      <w:r>
        <w:separator/>
      </w:r>
    </w:p>
  </w:footnote>
  <w:footnote w:type="continuationSeparator" w:id="0">
    <w:p w14:paraId="78648918" w14:textId="77777777" w:rsidR="00DE4DB6" w:rsidRDefault="00DE4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F0"/>
    <w:rsid w:val="00012D3A"/>
    <w:rsid w:val="00063E43"/>
    <w:rsid w:val="00065889"/>
    <w:rsid w:val="000822B4"/>
    <w:rsid w:val="000D5776"/>
    <w:rsid w:val="000D6387"/>
    <w:rsid w:val="00135A46"/>
    <w:rsid w:val="00154644"/>
    <w:rsid w:val="00180120"/>
    <w:rsid w:val="001B06F4"/>
    <w:rsid w:val="00233FB4"/>
    <w:rsid w:val="00236200"/>
    <w:rsid w:val="00254147"/>
    <w:rsid w:val="002A0D15"/>
    <w:rsid w:val="002D667C"/>
    <w:rsid w:val="002E4ABE"/>
    <w:rsid w:val="00325A6C"/>
    <w:rsid w:val="00346A11"/>
    <w:rsid w:val="00381D57"/>
    <w:rsid w:val="00384D9A"/>
    <w:rsid w:val="00387E91"/>
    <w:rsid w:val="003C152F"/>
    <w:rsid w:val="003E3517"/>
    <w:rsid w:val="003F18C8"/>
    <w:rsid w:val="003F3D68"/>
    <w:rsid w:val="003F533E"/>
    <w:rsid w:val="00410893"/>
    <w:rsid w:val="0048342A"/>
    <w:rsid w:val="004B1F4E"/>
    <w:rsid w:val="004C72E6"/>
    <w:rsid w:val="004D3BCF"/>
    <w:rsid w:val="005057F5"/>
    <w:rsid w:val="00562D90"/>
    <w:rsid w:val="00564842"/>
    <w:rsid w:val="0059246A"/>
    <w:rsid w:val="005E5C82"/>
    <w:rsid w:val="0061249D"/>
    <w:rsid w:val="00625B8F"/>
    <w:rsid w:val="006309DA"/>
    <w:rsid w:val="00656BC1"/>
    <w:rsid w:val="00674BE8"/>
    <w:rsid w:val="00687A65"/>
    <w:rsid w:val="006A143A"/>
    <w:rsid w:val="006A2FA3"/>
    <w:rsid w:val="006A3171"/>
    <w:rsid w:val="006B771A"/>
    <w:rsid w:val="006D2E88"/>
    <w:rsid w:val="006D6D82"/>
    <w:rsid w:val="006F3049"/>
    <w:rsid w:val="006F7635"/>
    <w:rsid w:val="006F7EB7"/>
    <w:rsid w:val="0071573D"/>
    <w:rsid w:val="00717568"/>
    <w:rsid w:val="00734C32"/>
    <w:rsid w:val="0075310B"/>
    <w:rsid w:val="00756C19"/>
    <w:rsid w:val="00771231"/>
    <w:rsid w:val="00785CE2"/>
    <w:rsid w:val="00797C64"/>
    <w:rsid w:val="007C5CFC"/>
    <w:rsid w:val="007D236F"/>
    <w:rsid w:val="007D7E89"/>
    <w:rsid w:val="007E51D1"/>
    <w:rsid w:val="00850E3F"/>
    <w:rsid w:val="00853CCC"/>
    <w:rsid w:val="0089084D"/>
    <w:rsid w:val="00890DD1"/>
    <w:rsid w:val="008B1D07"/>
    <w:rsid w:val="008B2511"/>
    <w:rsid w:val="008B4D23"/>
    <w:rsid w:val="008C7F92"/>
    <w:rsid w:val="008D3403"/>
    <w:rsid w:val="008E3CA8"/>
    <w:rsid w:val="009547FF"/>
    <w:rsid w:val="00961E9B"/>
    <w:rsid w:val="00984C97"/>
    <w:rsid w:val="009A74F0"/>
    <w:rsid w:val="009B05E8"/>
    <w:rsid w:val="009D000A"/>
    <w:rsid w:val="009D0021"/>
    <w:rsid w:val="009D5206"/>
    <w:rsid w:val="00A24E89"/>
    <w:rsid w:val="00A4013A"/>
    <w:rsid w:val="00A626FF"/>
    <w:rsid w:val="00A744AD"/>
    <w:rsid w:val="00A86EDC"/>
    <w:rsid w:val="00AA335D"/>
    <w:rsid w:val="00AA417E"/>
    <w:rsid w:val="00AD758A"/>
    <w:rsid w:val="00B155B6"/>
    <w:rsid w:val="00B30F78"/>
    <w:rsid w:val="00B80692"/>
    <w:rsid w:val="00BA632D"/>
    <w:rsid w:val="00C05A15"/>
    <w:rsid w:val="00C3227F"/>
    <w:rsid w:val="00C35982"/>
    <w:rsid w:val="00C422DF"/>
    <w:rsid w:val="00C510A7"/>
    <w:rsid w:val="00C6216C"/>
    <w:rsid w:val="00CC4FAD"/>
    <w:rsid w:val="00CC6CD2"/>
    <w:rsid w:val="00CD0BD9"/>
    <w:rsid w:val="00CD35EA"/>
    <w:rsid w:val="00D379CD"/>
    <w:rsid w:val="00D76098"/>
    <w:rsid w:val="00D866D4"/>
    <w:rsid w:val="00D87D75"/>
    <w:rsid w:val="00DE4DB6"/>
    <w:rsid w:val="00DF4FE2"/>
    <w:rsid w:val="00E669A0"/>
    <w:rsid w:val="00E67545"/>
    <w:rsid w:val="00E70D64"/>
    <w:rsid w:val="00E822C1"/>
    <w:rsid w:val="00EC089C"/>
    <w:rsid w:val="00EC7411"/>
    <w:rsid w:val="00ED41D4"/>
    <w:rsid w:val="00EE0C53"/>
    <w:rsid w:val="00EF5436"/>
    <w:rsid w:val="00F0615B"/>
    <w:rsid w:val="00F06AF8"/>
    <w:rsid w:val="00F12CEA"/>
    <w:rsid w:val="00F16313"/>
    <w:rsid w:val="00F80379"/>
    <w:rsid w:val="00F86A40"/>
    <w:rsid w:val="00FD4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07EF8"/>
  <w15:chartTrackingRefBased/>
  <w15:docId w15:val="{900EB456-2D88-46C5-A74F-53E81777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aliases w:val=" Char Char 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Char">
    <w:name w:val=" Char"/>
    <w:basedOn w:val="Normal"/>
    <w:rsid w:val="00C05A15"/>
    <w:pPr>
      <w:spacing w:after="160" w:line="240" w:lineRule="exact"/>
    </w:pPr>
    <w:rPr>
      <w:sz w:val="20"/>
      <w:szCs w:val="20"/>
      <w:lang w:val="de-DE" w:eastAsia="tr-TR"/>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styleId="Altbilgi">
    <w:name w:val="Altbilgi"/>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rsid w:val="00E67545"/>
    <w:rPr>
      <w:sz w:val="9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FFFFFF"/>
                </a:solidFill>
                <a:latin typeface="Arial"/>
                <a:ea typeface="Arial"/>
                <a:cs typeface="Arial"/>
              </a:defRPr>
            </a:pPr>
            <a:r>
              <a:rPr lang="tr-TR"/>
              <a:t>Bütçe Başlangıç Ödeneklerinin 2009-2010 Yılları İtibariyle Dağılımı</a:t>
            </a:r>
          </a:p>
        </c:rich>
      </c:tx>
      <c:layout>
        <c:manualLayout>
          <c:xMode val="edge"/>
          <c:yMode val="edge"/>
          <c:x val="0.10501576191864906"/>
          <c:y val="2.0715578776951946E-2"/>
        </c:manualLayout>
      </c:layout>
      <c:overlay val="0"/>
      <c:spPr>
        <a:noFill/>
        <a:ln w="25400">
          <a:noFill/>
        </a:ln>
      </c:spPr>
    </c:title>
    <c:autoTitleDeleted val="0"/>
    <c:plotArea>
      <c:layout>
        <c:manualLayout>
          <c:layoutTarget val="inner"/>
          <c:xMode val="edge"/>
          <c:yMode val="edge"/>
          <c:x val="0.12312811980033278"/>
          <c:y val="0.11328125"/>
          <c:w val="0.82362728785357742"/>
          <c:h val="0.66796875"/>
        </c:manualLayout>
      </c:layout>
      <c:barChart>
        <c:barDir val="col"/>
        <c:grouping val="clustered"/>
        <c:varyColors val="0"/>
        <c:ser>
          <c:idx val="0"/>
          <c:order val="0"/>
          <c:tx>
            <c:strRef>
              <c:f>Sayfa1!$A$5</c:f>
              <c:strCache>
                <c:ptCount val="1"/>
                <c:pt idx="0">
                  <c:v>2009 Yılı Başlangıç Ödeneği (1000 TL)</c:v>
                </c:pt>
              </c:strCache>
            </c:strRef>
          </c:tx>
          <c:spPr>
            <a:solidFill>
              <a:srgbClr val="808000"/>
            </a:solidFill>
            <a:ln w="12700">
              <a:solidFill>
                <a:srgbClr val="000000"/>
              </a:solidFill>
              <a:prstDash val="solid"/>
            </a:ln>
          </c:spPr>
          <c:invertIfNegative val="0"/>
          <c:dLbls>
            <c:dLbl>
              <c:idx val="0"/>
              <c:layout>
                <c:manualLayout>
                  <c:x val="-1.2739449888513141E-2"/>
                  <c:y val="2.5107878464344616E-3"/>
                </c:manualLayout>
              </c:layout>
              <c:spPr>
                <a:noFill/>
                <a:ln w="25400">
                  <a:noFill/>
                </a:ln>
              </c:spPr>
              <c:txPr>
                <a:bodyPr/>
                <a:lstStyle/>
                <a:p>
                  <a:pPr>
                    <a:defRPr sz="800" b="1" i="0" u="none" strike="noStrike" baseline="0">
                      <a:solidFill>
                        <a:srgbClr val="FF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B9-491F-9E91-881E22789C38}"/>
                </c:ext>
              </c:extLst>
            </c:dLbl>
            <c:dLbl>
              <c:idx val="1"/>
              <c:layout>
                <c:manualLayout>
                  <c:x val="-1.7389479920025704E-2"/>
                  <c:y val="-4.8179288323422749E-3"/>
                </c:manualLayout>
              </c:layout>
              <c:spPr>
                <a:noFill/>
                <a:ln w="25400">
                  <a:noFill/>
                </a:ln>
              </c:spPr>
              <c:txPr>
                <a:bodyPr/>
                <a:lstStyle/>
                <a:p>
                  <a:pPr>
                    <a:defRPr sz="800" b="1" i="0" u="none" strike="noStrike" baseline="0">
                      <a:solidFill>
                        <a:srgbClr val="FF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B9-491F-9E91-881E22789C38}"/>
                </c:ext>
              </c:extLst>
            </c:dLbl>
            <c:spPr>
              <a:noFill/>
              <a:ln w="25400">
                <a:noFill/>
              </a:ln>
            </c:spPr>
            <c:txPr>
              <a:bodyPr wrap="square" lIns="38100" tIns="19050" rIns="38100" bIns="19050" anchor="ctr">
                <a:spAutoFit/>
              </a:bodyPr>
              <a:lstStyle/>
              <a:p>
                <a:pPr>
                  <a:defRPr sz="800" b="1" i="0" u="none" strike="noStrike" baseline="0">
                    <a:solidFill>
                      <a:srgbClr val="FF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7777</c:v>
                </c:pt>
                <c:pt idx="1">
                  <c:v>961</c:v>
                </c:pt>
                <c:pt idx="2">
                  <c:v>12404</c:v>
                </c:pt>
                <c:pt idx="3">
                  <c:v>17473</c:v>
                </c:pt>
                <c:pt idx="4">
                  <c:v>5000</c:v>
                </c:pt>
              </c:numCache>
            </c:numRef>
          </c:val>
          <c:extLst>
            <c:ext xmlns:c16="http://schemas.microsoft.com/office/drawing/2014/chart" uri="{C3380CC4-5D6E-409C-BE32-E72D297353CC}">
              <c16:uniqueId val="{00000002-3EB9-491F-9E91-881E22789C38}"/>
            </c:ext>
          </c:extLst>
        </c:ser>
        <c:ser>
          <c:idx val="1"/>
          <c:order val="1"/>
          <c:tx>
            <c:strRef>
              <c:f>Sayfa1!$A$6</c:f>
              <c:strCache>
                <c:ptCount val="1"/>
                <c:pt idx="0">
                  <c:v>2010 Yılı Başlangıç Ödeneği (1000 TL)</c:v>
                </c:pt>
              </c:strCache>
            </c:strRef>
          </c:tx>
          <c:spPr>
            <a:solidFill>
              <a:srgbClr val="99CC00"/>
            </a:solidFill>
            <a:ln w="12700">
              <a:solidFill>
                <a:srgbClr val="000000"/>
              </a:solidFill>
              <a:prstDash val="solid"/>
            </a:ln>
          </c:spPr>
          <c:invertIfNegative val="0"/>
          <c:dLbls>
            <c:dLbl>
              <c:idx val="0"/>
              <c:layout>
                <c:manualLayout>
                  <c:x val="3.0277030418219678E-2"/>
                  <c:y val="-5.684713139671109E-3"/>
                </c:manualLayout>
              </c:layout>
              <c:spPr>
                <a:noFill/>
                <a:ln w="25400">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B9-491F-9E91-881E22789C38}"/>
                </c:ext>
              </c:extLst>
            </c:dLbl>
            <c:dLbl>
              <c:idx val="1"/>
              <c:layout>
                <c:manualLayout>
                  <c:x val="1.1520417314606811E-2"/>
                  <c:y val="-4.8499587269105722E-3"/>
                </c:manualLayout>
              </c:layout>
              <c:spPr>
                <a:noFill/>
                <a:ln w="25400">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B9-491F-9E91-881E22789C38}"/>
                </c:ext>
              </c:extLst>
            </c:dLbl>
            <c:dLbl>
              <c:idx val="2"/>
              <c:layout>
                <c:manualLayout>
                  <c:x val="2.5574836060852868E-2"/>
                  <c:y val="-4.4074716649119714E-3"/>
                </c:manualLayout>
              </c:layout>
              <c:spPr>
                <a:noFill/>
                <a:ln w="25400">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B9-491F-9E91-881E22789C38}"/>
                </c:ext>
              </c:extLst>
            </c:dLbl>
            <c:dLbl>
              <c:idx val="4"/>
              <c:layout>
                <c:manualLayout>
                  <c:x val="1.9305243584363765E-2"/>
                  <c:y val="-5.5548141228109697E-3"/>
                </c:manualLayout>
              </c:layout>
              <c:spPr>
                <a:noFill/>
                <a:ln w="25400">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B9-491F-9E91-881E22789C38}"/>
                </c:ext>
              </c:extLst>
            </c:dLbl>
            <c:spPr>
              <a:noFill/>
              <a:ln w="25400">
                <a:noFill/>
              </a:ln>
            </c:spPr>
            <c:txPr>
              <a:bodyPr wrap="square" lIns="38100" tIns="19050" rIns="38100" bIns="19050" anchor="ctr">
                <a:spAutoFit/>
              </a:bodyPr>
              <a:lstStyle/>
              <a:p>
                <a:pPr>
                  <a:defRPr sz="800" b="1" i="0" u="none" strike="noStrike" baseline="0">
                    <a:solidFill>
                      <a:srgbClr val="00FFFF"/>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9106</c:v>
                </c:pt>
                <c:pt idx="1">
                  <c:v>1636</c:v>
                </c:pt>
                <c:pt idx="2">
                  <c:v>1966</c:v>
                </c:pt>
                <c:pt idx="3">
                  <c:v>2608</c:v>
                </c:pt>
                <c:pt idx="4">
                  <c:v>3000</c:v>
                </c:pt>
              </c:numCache>
            </c:numRef>
          </c:val>
          <c:extLst>
            <c:ext xmlns:c16="http://schemas.microsoft.com/office/drawing/2014/chart" uri="{C3380CC4-5D6E-409C-BE32-E72D297353CC}">
              <c16:uniqueId val="{00000007-3EB9-491F-9E91-881E22789C38}"/>
            </c:ext>
          </c:extLst>
        </c:ser>
        <c:ser>
          <c:idx val="2"/>
          <c:order val="2"/>
          <c:tx>
            <c:strRef>
              <c:f>Sayfa1!$A$7</c:f>
              <c:strCache>
                <c:ptCount val="1"/>
                <c:pt idx="0">
                  <c:v>Artış Oranı</c:v>
                </c:pt>
              </c:strCache>
            </c:strRef>
          </c:tx>
          <c:spPr>
            <a:solidFill>
              <a:srgbClr val="00FF00"/>
            </a:solidFill>
            <a:ln w="12700">
              <a:solidFill>
                <a:srgbClr val="000000"/>
              </a:solidFill>
              <a:prstDash val="solid"/>
            </a:ln>
          </c:spPr>
          <c:invertIfNegative val="0"/>
          <c:dLbls>
            <c:dLbl>
              <c:idx val="0"/>
              <c:layout>
                <c:manualLayout>
                  <c:x val="2.2786595249261576E-2"/>
                  <c:y val="-0.60591208584802603"/>
                </c:manualLayout>
              </c:layout>
              <c:numFmt formatCode="#.00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B9-491F-9E91-881E22789C38}"/>
                </c:ext>
              </c:extLst>
            </c:dLbl>
            <c:dLbl>
              <c:idx val="1"/>
              <c:layout>
                <c:manualLayout>
                  <c:x val="-5.4015912587728997E-2"/>
                  <c:y val="-0.12756696373405299"/>
                </c:manualLayout>
              </c:layout>
              <c:numFmt formatCode="#.00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B9-491F-9E91-881E22789C38}"/>
                </c:ext>
              </c:extLst>
            </c:dLbl>
            <c:dLbl>
              <c:idx val="2"/>
              <c:layout>
                <c:manualLayout>
                  <c:x val="-4.1476727634750951E-2"/>
                  <c:y val="-0.2857578678371418"/>
                </c:manualLayout>
              </c:layout>
              <c:numFmt formatCode="#.00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B9-491F-9E91-881E22789C38}"/>
                </c:ext>
              </c:extLst>
            </c:dLbl>
            <c:dLbl>
              <c:idx val="3"/>
              <c:layout>
                <c:manualLayout>
                  <c:x val="-4.7746320111240033E-2"/>
                  <c:y val="-5.9772923864742936E-2"/>
                </c:manualLayout>
              </c:layout>
              <c:numFmt formatCode="#.00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B9-491F-9E91-881E22789C38}"/>
                </c:ext>
              </c:extLst>
            </c:dLbl>
            <c:dLbl>
              <c:idx val="4"/>
              <c:layout>
                <c:manualLayout>
                  <c:x val="-4.6126757666263479E-2"/>
                  <c:y val="-0.15958479766300396"/>
                </c:manualLayout>
              </c:layout>
              <c:numFmt formatCode="#.000%" sourceLinked="0"/>
              <c:spPr>
                <a:noFill/>
                <a:ln w="25400">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EB9-491F-9E91-881E22789C38}"/>
                </c:ext>
              </c:extLst>
            </c:dLbl>
            <c:numFmt formatCode="#.000%" sourceLinked="0"/>
            <c:spPr>
              <a:noFill/>
              <a:ln w="25400">
                <a:noFill/>
              </a:ln>
            </c:spPr>
            <c:txPr>
              <a:bodyPr wrap="square" lIns="38100" tIns="19050" rIns="38100" bIns="19050" anchor="ctr">
                <a:spAutoFit/>
              </a:bodyPr>
              <a:lstStyle/>
              <a:p>
                <a:pPr>
                  <a:defRPr sz="800" b="1" i="0" u="none" strike="noStrike" baseline="0">
                    <a:solidFill>
                      <a:srgbClr val="00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00,000</c:formatCode>
                <c:ptCount val="5"/>
                <c:pt idx="0">
                  <c:v>0.17088851742317088</c:v>
                </c:pt>
                <c:pt idx="1">
                  <c:v>0.70239334027055156</c:v>
                </c:pt>
                <c:pt idx="2">
                  <c:v>-0.84150274105127376</c:v>
                </c:pt>
                <c:pt idx="3">
                  <c:v>-0.85074114347850971</c:v>
                </c:pt>
                <c:pt idx="4">
                  <c:v>-0.4</c:v>
                </c:pt>
              </c:numCache>
            </c:numRef>
          </c:val>
          <c:extLst>
            <c:ext xmlns:c16="http://schemas.microsoft.com/office/drawing/2014/chart" uri="{C3380CC4-5D6E-409C-BE32-E72D297353CC}">
              <c16:uniqueId val="{0000000D-3EB9-491F-9E91-881E22789C38}"/>
            </c:ext>
          </c:extLst>
        </c:ser>
        <c:dLbls>
          <c:showLegendKey val="0"/>
          <c:showVal val="1"/>
          <c:showCatName val="0"/>
          <c:showSerName val="0"/>
          <c:showPercent val="0"/>
          <c:showBubbleSize val="0"/>
        </c:dLbls>
        <c:gapWidth val="150"/>
        <c:axId val="872463664"/>
        <c:axId val="1"/>
      </c:barChart>
      <c:catAx>
        <c:axId val="872463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FFFFFF"/>
                </a:solidFill>
                <a:latin typeface="Arial"/>
                <a:ea typeface="Arial"/>
                <a:cs typeface="Arial"/>
              </a:defRPr>
            </a:pPr>
            <a:endParaRPr lang="tr-TR"/>
          </a:p>
        </c:txPr>
        <c:crossAx val="1"/>
        <c:crosses val="autoZero"/>
        <c:auto val="1"/>
        <c:lblAlgn val="ctr"/>
        <c:lblOffset val="100"/>
        <c:tickLblSkip val="1"/>
        <c:tickMarkSkip val="1"/>
        <c:noMultiLvlLbl val="0"/>
      </c:catAx>
      <c:valAx>
        <c:axId val="1"/>
        <c:scaling>
          <c:orientation val="minMax"/>
          <c:max val="80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FFFFFF"/>
                </a:solidFill>
                <a:latin typeface="Arial"/>
                <a:ea typeface="Arial"/>
                <a:cs typeface="Arial"/>
              </a:defRPr>
            </a:pPr>
            <a:endParaRPr lang="tr-TR"/>
          </a:p>
        </c:txPr>
        <c:crossAx val="872463664"/>
        <c:crosses val="autoZero"/>
        <c:crossBetween val="between"/>
      </c:valAx>
      <c:spPr>
        <a:solidFill>
          <a:srgbClr val="003366"/>
        </a:solidFill>
        <a:ln w="12700">
          <a:solidFill>
            <a:srgbClr val="808080"/>
          </a:solidFill>
          <a:prstDash val="solid"/>
        </a:ln>
      </c:spPr>
    </c:plotArea>
    <c:legend>
      <c:legendPos val="b"/>
      <c:layout>
        <c:manualLayout>
          <c:xMode val="edge"/>
          <c:yMode val="edge"/>
          <c:wMode val="edge"/>
          <c:hMode val="edge"/>
          <c:x val="8.7774213408509133E-2"/>
          <c:y val="0.91713748865503963"/>
          <c:w val="0.92633217144153279"/>
          <c:h val="0.99435033237667725"/>
        </c:manualLayout>
      </c:layout>
      <c:overlay val="0"/>
      <c:spPr>
        <a:solidFill>
          <a:srgbClr val="000000"/>
        </a:solidFill>
        <a:ln w="3175">
          <a:solidFill>
            <a:srgbClr val="000000"/>
          </a:solidFill>
          <a:prstDash val="solid"/>
        </a:ln>
      </c:spPr>
      <c:txPr>
        <a:bodyPr/>
        <a:lstStyle/>
        <a:p>
          <a:pPr>
            <a:defRPr sz="735" b="0" i="0" u="none" strike="noStrike" baseline="0">
              <a:solidFill>
                <a:srgbClr val="FFFFFF"/>
              </a:solidFill>
              <a:latin typeface="Arial"/>
              <a:ea typeface="Arial"/>
              <a:cs typeface="Arial"/>
            </a:defRPr>
          </a:pPr>
          <a:endParaRPr lang="tr-TR"/>
        </a:p>
      </c:txPr>
    </c:legend>
    <c:plotVisOnly val="1"/>
    <c:dispBlanksAs val="gap"/>
    <c:showDLblsOverMax val="0"/>
  </c:chart>
  <c:spPr>
    <a:solidFill>
      <a:srgbClr val="800000"/>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FFFFFF"/>
                </a:solidFill>
                <a:latin typeface="Arial"/>
                <a:ea typeface="Arial"/>
                <a:cs typeface="Arial"/>
              </a:defRPr>
            </a:pPr>
            <a:r>
              <a:rPr lang="tr-TR"/>
              <a:t>2009 Yılı İlk Altı Aylık Bütçe Uygulama Sonuçları</a:t>
            </a:r>
          </a:p>
        </c:rich>
      </c:tx>
      <c:layout>
        <c:manualLayout>
          <c:xMode val="edge"/>
          <c:yMode val="edge"/>
          <c:x val="0.21651091191455737"/>
          <c:y val="1.9417246757198827E-2"/>
        </c:manualLayout>
      </c:layout>
      <c:overlay val="0"/>
      <c:spPr>
        <a:noFill/>
        <a:ln w="25399">
          <a:noFill/>
        </a:ln>
      </c:spPr>
    </c:title>
    <c:autoTitleDeleted val="0"/>
    <c:plotArea>
      <c:layout>
        <c:manualLayout>
          <c:layoutTarget val="inner"/>
          <c:xMode val="edge"/>
          <c:yMode val="edge"/>
          <c:x val="0.11838006230529595"/>
          <c:y val="0.14805825242718446"/>
          <c:w val="0.82866043613707163"/>
          <c:h val="0.6310679611650486"/>
        </c:manualLayout>
      </c:layout>
      <c:barChart>
        <c:barDir val="col"/>
        <c:grouping val="clustered"/>
        <c:varyColors val="0"/>
        <c:ser>
          <c:idx val="0"/>
          <c:order val="0"/>
          <c:tx>
            <c:strRef>
              <c:f>Sayfa1!$A$5</c:f>
              <c:strCache>
                <c:ptCount val="1"/>
                <c:pt idx="0">
                  <c:v>2009 Yılı Başlangıç Ödeneği (1000 TL)</c:v>
                </c:pt>
              </c:strCache>
            </c:strRef>
          </c:tx>
          <c:spPr>
            <a:solidFill>
              <a:srgbClr val="808000"/>
            </a:solidFill>
            <a:ln w="12700">
              <a:solidFill>
                <a:srgbClr val="000000"/>
              </a:solidFill>
              <a:prstDash val="solid"/>
            </a:ln>
          </c:spPr>
          <c:invertIfNegative val="0"/>
          <c:dLbls>
            <c:dLbl>
              <c:idx val="0"/>
              <c:layout>
                <c:manualLayout>
                  <c:x val="-1.9296653338893419E-3"/>
                  <c:y val="6.7255306678898237E-3"/>
                </c:manualLayout>
              </c:layout>
              <c:spPr>
                <a:noFill/>
                <a:ln w="25399">
                  <a:noFill/>
                </a:ln>
              </c:spPr>
              <c:txPr>
                <a:bodyPr/>
                <a:lstStyle/>
                <a:p>
                  <a:pPr>
                    <a:defRPr sz="800" b="1" i="0" u="none" strike="noStrike" baseline="0">
                      <a:solidFill>
                        <a:srgbClr val="FF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58-4CC4-BBD8-A08BA42BA3DA}"/>
                </c:ext>
              </c:extLst>
            </c:dLbl>
            <c:spPr>
              <a:noFill/>
              <a:ln w="25399">
                <a:noFill/>
              </a:ln>
            </c:spPr>
            <c:txPr>
              <a:bodyPr wrap="square" lIns="38100" tIns="19050" rIns="38100" bIns="19050" anchor="ctr">
                <a:spAutoFit/>
              </a:bodyPr>
              <a:lstStyle/>
              <a:p>
                <a:pPr>
                  <a:defRPr sz="800" b="1" i="0" u="none" strike="noStrike" baseline="0">
                    <a:solidFill>
                      <a:srgbClr val="FF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Sayfa1!$B$5:$F$5</c:f>
              <c:numCache>
                <c:formatCode>#.##0</c:formatCode>
                <c:ptCount val="5"/>
                <c:pt idx="0">
                  <c:v>7777</c:v>
                </c:pt>
                <c:pt idx="1">
                  <c:v>961</c:v>
                </c:pt>
                <c:pt idx="2">
                  <c:v>12404</c:v>
                </c:pt>
                <c:pt idx="3">
                  <c:v>17473</c:v>
                </c:pt>
                <c:pt idx="4">
                  <c:v>5000</c:v>
                </c:pt>
              </c:numCache>
            </c:numRef>
          </c:val>
          <c:extLst>
            <c:ext xmlns:c16="http://schemas.microsoft.com/office/drawing/2014/chart" uri="{C3380CC4-5D6E-409C-BE32-E72D297353CC}">
              <c16:uniqueId val="{00000001-B858-4CC4-BBD8-A08BA42BA3DA}"/>
            </c:ext>
          </c:extLst>
        </c:ser>
        <c:ser>
          <c:idx val="1"/>
          <c:order val="1"/>
          <c:tx>
            <c:strRef>
              <c:f>Sayfa1!$A$6</c:f>
              <c:strCache>
                <c:ptCount val="1"/>
                <c:pt idx="0">
                  <c:v>2009 Yılı İlk Altı Aylık Gerçekleşme (1000 TL)</c:v>
                </c:pt>
              </c:strCache>
            </c:strRef>
          </c:tx>
          <c:spPr>
            <a:solidFill>
              <a:srgbClr val="99CC00"/>
            </a:solidFill>
            <a:ln w="12700">
              <a:solidFill>
                <a:srgbClr val="000000"/>
              </a:solidFill>
              <a:prstDash val="solid"/>
            </a:ln>
          </c:spPr>
          <c:invertIfNegative val="0"/>
          <c:dLbls>
            <c:dLbl>
              <c:idx val="0"/>
              <c:layout>
                <c:manualLayout>
                  <c:x val="1.2642905618106151E-2"/>
                  <c:y val="-6.9061998318170935E-3"/>
                </c:manualLayout>
              </c:layout>
              <c:spPr>
                <a:noFill/>
                <a:ln w="25399">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58-4CC4-BBD8-A08BA42BA3DA}"/>
                </c:ext>
              </c:extLst>
            </c:dLbl>
            <c:dLbl>
              <c:idx val="1"/>
              <c:layout>
                <c:manualLayout>
                  <c:x val="1.2071691973082803E-2"/>
                  <c:y val="-6.3175598195856107E-3"/>
                </c:manualLayout>
              </c:layout>
              <c:spPr>
                <a:noFill/>
                <a:ln w="25399">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58-4CC4-BBD8-A08BA42BA3DA}"/>
                </c:ext>
              </c:extLst>
            </c:dLbl>
            <c:dLbl>
              <c:idx val="2"/>
              <c:layout>
                <c:manualLayout>
                  <c:x val="1.1448639013581207E-2"/>
                  <c:y val="-6.9423846291057694E-3"/>
                </c:manualLayout>
              </c:layout>
              <c:spPr>
                <a:noFill/>
                <a:ln w="25399">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58-4CC4-BBD8-A08BA42BA3DA}"/>
                </c:ext>
              </c:extLst>
            </c:dLbl>
            <c:dLbl>
              <c:idx val="4"/>
              <c:layout>
                <c:manualLayout>
                  <c:x val="1.3317797892085918E-2"/>
                  <c:y val="-6.9291338582676745E-3"/>
                </c:manualLayout>
              </c:layout>
              <c:spPr>
                <a:noFill/>
                <a:ln w="25399">
                  <a:noFill/>
                </a:ln>
              </c:spPr>
              <c:txPr>
                <a:bodyPr/>
                <a:lstStyle/>
                <a:p>
                  <a:pPr>
                    <a:defRPr sz="80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58-4CC4-BBD8-A08BA42BA3DA}"/>
                </c:ext>
              </c:extLst>
            </c:dLbl>
            <c:spPr>
              <a:noFill/>
              <a:ln w="25399">
                <a:noFill/>
              </a:ln>
            </c:spPr>
            <c:txPr>
              <a:bodyPr wrap="square" lIns="38100" tIns="19050" rIns="38100" bIns="19050" anchor="ctr">
                <a:spAutoFit/>
              </a:bodyPr>
              <a:lstStyle/>
              <a:p>
                <a:pPr>
                  <a:defRPr sz="800" b="1" i="0" u="none" strike="noStrike" baseline="0">
                    <a:solidFill>
                      <a:srgbClr val="00FFFF"/>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Sayfa1!$B$6:$F$6</c:f>
              <c:numCache>
                <c:formatCode>#.##0</c:formatCode>
                <c:ptCount val="5"/>
                <c:pt idx="0">
                  <c:v>4497</c:v>
                </c:pt>
                <c:pt idx="1">
                  <c:v>510</c:v>
                </c:pt>
                <c:pt idx="2">
                  <c:v>1591</c:v>
                </c:pt>
                <c:pt idx="3" formatCode="General">
                  <c:v>183</c:v>
                </c:pt>
                <c:pt idx="4">
                  <c:v>34</c:v>
                </c:pt>
              </c:numCache>
            </c:numRef>
          </c:val>
          <c:extLst>
            <c:ext xmlns:c16="http://schemas.microsoft.com/office/drawing/2014/chart" uri="{C3380CC4-5D6E-409C-BE32-E72D297353CC}">
              <c16:uniqueId val="{00000006-B858-4CC4-BBD8-A08BA42BA3DA}"/>
            </c:ext>
          </c:extLst>
        </c:ser>
        <c:ser>
          <c:idx val="2"/>
          <c:order val="2"/>
          <c:tx>
            <c:strRef>
              <c:f>Sayfa1!$A$7</c:f>
              <c:strCache>
                <c:ptCount val="1"/>
                <c:pt idx="0">
                  <c:v>Gerçekleşme Oranı</c:v>
                </c:pt>
              </c:strCache>
            </c:strRef>
          </c:tx>
          <c:spPr>
            <a:solidFill>
              <a:srgbClr val="00FF00"/>
            </a:solidFill>
            <a:ln w="12700">
              <a:solidFill>
                <a:srgbClr val="000000"/>
              </a:solidFill>
              <a:prstDash val="solid"/>
            </a:ln>
          </c:spPr>
          <c:invertIfNegative val="0"/>
          <c:dLbls>
            <c:dLbl>
              <c:idx val="0"/>
              <c:layout>
                <c:manualLayout>
                  <c:x val="-1.8952911259924304E-2"/>
                  <c:y val="-0.48237443620518305"/>
                </c:manualLayout>
              </c:layout>
              <c:numFmt formatCode="0%" sourceLinked="0"/>
              <c:spPr>
                <a:no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58-4CC4-BBD8-A08BA42BA3DA}"/>
                </c:ext>
              </c:extLst>
            </c:dLbl>
            <c:dLbl>
              <c:idx val="1"/>
              <c:layout>
                <c:manualLayout>
                  <c:x val="-2.4420078331330057E-3"/>
                  <c:y val="-0.10130723950768282"/>
                </c:manualLayout>
              </c:layout>
              <c:numFmt formatCode="0%" sourceLinked="0"/>
              <c:spPr>
                <a:no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58-4CC4-BBD8-A08BA42BA3DA}"/>
                </c:ext>
              </c:extLst>
            </c:dLbl>
            <c:dLbl>
              <c:idx val="2"/>
              <c:layout>
                <c:manualLayout>
                  <c:x val="-1.5074283938807064E-3"/>
                  <c:y val="-0.12315266416940603"/>
                </c:manualLayout>
              </c:layout>
              <c:numFmt formatCode="0%" sourceLinked="0"/>
              <c:spPr>
                <a:no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58-4CC4-BBD8-A08BA42BA3DA}"/>
                </c:ext>
              </c:extLst>
            </c:dLbl>
            <c:dLbl>
              <c:idx val="3"/>
              <c:layout>
                <c:manualLayout>
                  <c:x val="-4.5744188518491283E-2"/>
                  <c:y val="-5.5189460540733322E-2"/>
                </c:manualLayout>
              </c:layout>
              <c:numFmt formatCode="0%" sourceLinked="0"/>
              <c:spPr>
                <a:no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58-4CC4-BBD8-A08BA42BA3DA}"/>
                </c:ext>
              </c:extLst>
            </c:dLbl>
            <c:dLbl>
              <c:idx val="4"/>
              <c:layout>
                <c:manualLayout>
                  <c:x val="-4.3111667116376238E-3"/>
                  <c:y val="-5.2765843589939548E-2"/>
                </c:manualLayout>
              </c:layout>
              <c:numFmt formatCode="0%" sourceLinked="0"/>
              <c:spPr>
                <a:noFill/>
                <a:ln w="25399">
                  <a:noFill/>
                </a:ln>
              </c:spPr>
              <c:txPr>
                <a:bodyPr/>
                <a:lstStyle/>
                <a:p>
                  <a:pPr>
                    <a:defRPr sz="80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858-4CC4-BBD8-A08BA42BA3DA}"/>
                </c:ext>
              </c:extLst>
            </c:dLbl>
            <c:numFmt formatCode="0%" sourceLinked="0"/>
            <c:spPr>
              <a:noFill/>
              <a:ln w="25399">
                <a:noFill/>
              </a:ln>
            </c:spPr>
            <c:txPr>
              <a:bodyPr wrap="square" lIns="38100" tIns="19050" rIns="38100" bIns="19050" anchor="ctr">
                <a:spAutoFit/>
              </a:bodyPr>
              <a:lstStyle/>
              <a:p>
                <a:pPr>
                  <a:defRPr sz="800" b="1" i="0" u="none" strike="noStrike" baseline="0">
                    <a:solidFill>
                      <a:srgbClr val="00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Giderleri</c:v>
                </c:pt>
              </c:strCache>
            </c:strRef>
          </c:cat>
          <c:val>
            <c:numRef>
              <c:f>Sayfa1!$B$7:$F$7</c:f>
              <c:numCache>
                <c:formatCode>#,000</c:formatCode>
                <c:ptCount val="5"/>
                <c:pt idx="0">
                  <c:v>0.57824353863957823</c:v>
                </c:pt>
                <c:pt idx="1">
                  <c:v>0.53069719042663888</c:v>
                </c:pt>
                <c:pt idx="2">
                  <c:v>0.1282650757820058</c:v>
                </c:pt>
                <c:pt idx="3">
                  <c:v>1.0473301665426659E-2</c:v>
                </c:pt>
                <c:pt idx="4">
                  <c:v>6.7999999999999996E-3</c:v>
                </c:pt>
              </c:numCache>
            </c:numRef>
          </c:val>
          <c:extLst>
            <c:ext xmlns:c16="http://schemas.microsoft.com/office/drawing/2014/chart" uri="{C3380CC4-5D6E-409C-BE32-E72D297353CC}">
              <c16:uniqueId val="{0000000C-B858-4CC4-BBD8-A08BA42BA3DA}"/>
            </c:ext>
          </c:extLst>
        </c:ser>
        <c:dLbls>
          <c:showLegendKey val="0"/>
          <c:showVal val="1"/>
          <c:showCatName val="0"/>
          <c:showSerName val="0"/>
          <c:showPercent val="0"/>
          <c:showBubbleSize val="0"/>
        </c:dLbls>
        <c:gapWidth val="150"/>
        <c:axId val="872892976"/>
        <c:axId val="1"/>
      </c:barChart>
      <c:catAx>
        <c:axId val="872892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FFFFFF"/>
                </a:solidFill>
                <a:latin typeface="Arial"/>
                <a:ea typeface="Arial"/>
                <a:cs typeface="Arial"/>
              </a:defRPr>
            </a:pPr>
            <a:endParaRPr lang="tr-TR"/>
          </a:p>
        </c:txPr>
        <c:crossAx val="1"/>
        <c:crosses val="autoZero"/>
        <c:auto val="1"/>
        <c:lblAlgn val="ctr"/>
        <c:lblOffset val="100"/>
        <c:tickLblSkip val="1"/>
        <c:tickMarkSkip val="1"/>
        <c:noMultiLvlLbl val="0"/>
      </c:catAx>
      <c:valAx>
        <c:axId val="1"/>
        <c:scaling>
          <c:orientation val="minMax"/>
          <c:max val="70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FFFFFF"/>
                </a:solidFill>
                <a:latin typeface="Arial"/>
                <a:ea typeface="Arial"/>
                <a:cs typeface="Arial"/>
              </a:defRPr>
            </a:pPr>
            <a:endParaRPr lang="tr-TR"/>
          </a:p>
        </c:txPr>
        <c:crossAx val="872892976"/>
        <c:crosses val="autoZero"/>
        <c:crossBetween val="between"/>
        <c:majorUnit val="5000"/>
      </c:valAx>
      <c:spPr>
        <a:solidFill>
          <a:srgbClr val="003366"/>
        </a:solidFill>
        <a:ln w="12700">
          <a:solidFill>
            <a:srgbClr val="808080"/>
          </a:solidFill>
          <a:prstDash val="solid"/>
        </a:ln>
      </c:spPr>
    </c:plotArea>
    <c:legend>
      <c:legendPos val="b"/>
      <c:layout>
        <c:manualLayout>
          <c:xMode val="edge"/>
          <c:yMode val="edge"/>
          <c:wMode val="edge"/>
          <c:hMode val="edge"/>
          <c:x val="8.8784931295352781E-2"/>
          <c:y val="0.89563112581941751"/>
          <c:w val="0.92211826462868607"/>
          <c:h val="0.99514575170857267"/>
        </c:manualLayout>
      </c:layout>
      <c:overlay val="0"/>
      <c:spPr>
        <a:solidFill>
          <a:srgbClr val="000000"/>
        </a:solidFill>
        <a:ln w="3175">
          <a:solidFill>
            <a:srgbClr val="000000"/>
          </a:solidFill>
          <a:prstDash val="solid"/>
        </a:ln>
      </c:spPr>
      <c:txPr>
        <a:bodyPr/>
        <a:lstStyle/>
        <a:p>
          <a:pPr>
            <a:defRPr sz="735" b="0" i="0" u="none" strike="noStrike" baseline="0">
              <a:solidFill>
                <a:srgbClr val="FFFFFF"/>
              </a:solidFill>
              <a:latin typeface="Arial"/>
              <a:ea typeface="Arial"/>
              <a:cs typeface="Arial"/>
            </a:defRPr>
          </a:pPr>
          <a:endParaRPr lang="tr-TR"/>
        </a:p>
      </c:txPr>
    </c:legend>
    <c:plotVisOnly val="1"/>
    <c:dispBlanksAs val="gap"/>
    <c:showDLblsOverMax val="0"/>
  </c:chart>
  <c:spPr>
    <a:solidFill>
      <a:srgbClr val="800000"/>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FFFFFF"/>
                </a:solidFill>
                <a:latin typeface="Arial"/>
                <a:ea typeface="Arial"/>
                <a:cs typeface="Arial"/>
              </a:defRPr>
            </a:pPr>
            <a:r>
              <a:rPr lang="tr-TR"/>
              <a:t>2010 Yılı İlk Altı Aylık Bütçe Uygulama Sonuçları</a:t>
            </a:r>
          </a:p>
        </c:rich>
      </c:tx>
      <c:layout>
        <c:manualLayout>
          <c:xMode val="edge"/>
          <c:yMode val="edge"/>
          <c:x val="0.20358299503219537"/>
          <c:y val="2.013428008998875E-2"/>
        </c:manualLayout>
      </c:layout>
      <c:overlay val="0"/>
      <c:spPr>
        <a:noFill/>
        <a:ln w="25399">
          <a:noFill/>
        </a:ln>
      </c:spPr>
    </c:title>
    <c:autoTitleDeleted val="0"/>
    <c:plotArea>
      <c:layout>
        <c:manualLayout>
          <c:layoutTarget val="inner"/>
          <c:xMode val="edge"/>
          <c:yMode val="edge"/>
          <c:x val="0.10912052117263844"/>
          <c:y val="0.15659955257270694"/>
          <c:w val="0.83550488599348538"/>
          <c:h val="0.60626398210290833"/>
        </c:manualLayout>
      </c:layout>
      <c:barChart>
        <c:barDir val="col"/>
        <c:grouping val="clustered"/>
        <c:varyColors val="0"/>
        <c:ser>
          <c:idx val="0"/>
          <c:order val="0"/>
          <c:tx>
            <c:strRef>
              <c:f>Sayfa1!$A$5</c:f>
              <c:strCache>
                <c:ptCount val="1"/>
                <c:pt idx="0">
                  <c:v>2010 Yılı Başlangıç Ödeneği (1000 TL)</c:v>
                </c:pt>
              </c:strCache>
            </c:strRef>
          </c:tx>
          <c:spPr>
            <a:solidFill>
              <a:srgbClr val="808000"/>
            </a:solidFill>
            <a:ln w="12700">
              <a:solidFill>
                <a:srgbClr val="000000"/>
              </a:solidFill>
              <a:prstDash val="solid"/>
            </a:ln>
          </c:spPr>
          <c:invertIfNegative val="0"/>
          <c:dLbls>
            <c:dLbl>
              <c:idx val="0"/>
              <c:layout>
                <c:manualLayout>
                  <c:x val="-2.8777347456974999E-4"/>
                  <c:y val="8.4978303886510814E-3"/>
                </c:manualLayout>
              </c:layout>
              <c:spPr>
                <a:noFill/>
                <a:ln w="25399">
                  <a:noFill/>
                </a:ln>
              </c:spPr>
              <c:txPr>
                <a:bodyPr/>
                <a:lstStyle/>
                <a:p>
                  <a:pPr>
                    <a:defRPr sz="850" b="1" i="0" u="none" strike="noStrike" baseline="0">
                      <a:solidFill>
                        <a:srgbClr val="FF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74-4A4C-94C6-72061797FB22}"/>
                </c:ext>
              </c:extLst>
            </c:dLbl>
            <c:spPr>
              <a:noFill/>
              <a:ln w="25399">
                <a:noFill/>
              </a:ln>
            </c:spPr>
            <c:txPr>
              <a:bodyPr wrap="square" lIns="38100" tIns="19050" rIns="38100" bIns="19050" anchor="ctr">
                <a:spAutoFit/>
              </a:bodyPr>
              <a:lstStyle/>
              <a:p>
                <a:pPr>
                  <a:defRPr sz="850" b="1" i="0" u="none" strike="noStrike" baseline="0">
                    <a:solidFill>
                      <a:srgbClr val="FF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Sayfa1!$B$5:$F$5</c:f>
              <c:numCache>
                <c:formatCode>#.##0</c:formatCode>
                <c:ptCount val="5"/>
                <c:pt idx="0">
                  <c:v>9106</c:v>
                </c:pt>
                <c:pt idx="1">
                  <c:v>1636</c:v>
                </c:pt>
                <c:pt idx="2">
                  <c:v>1966</c:v>
                </c:pt>
                <c:pt idx="3">
                  <c:v>2608</c:v>
                </c:pt>
                <c:pt idx="4">
                  <c:v>3000</c:v>
                </c:pt>
              </c:numCache>
            </c:numRef>
          </c:val>
          <c:extLst>
            <c:ext xmlns:c16="http://schemas.microsoft.com/office/drawing/2014/chart" uri="{C3380CC4-5D6E-409C-BE32-E72D297353CC}">
              <c16:uniqueId val="{00000001-2974-4A4C-94C6-72061797FB22}"/>
            </c:ext>
          </c:extLst>
        </c:ser>
        <c:ser>
          <c:idx val="1"/>
          <c:order val="1"/>
          <c:tx>
            <c:strRef>
              <c:f>Sayfa1!$A$6</c:f>
              <c:strCache>
                <c:ptCount val="1"/>
                <c:pt idx="0">
                  <c:v>2010 Yılı İlk Altı Aylık Gerçekleşme (1000 TL)</c:v>
                </c:pt>
              </c:strCache>
            </c:strRef>
          </c:tx>
          <c:spPr>
            <a:solidFill>
              <a:srgbClr val="99CC00"/>
            </a:solidFill>
            <a:ln w="12700">
              <a:solidFill>
                <a:srgbClr val="000000"/>
              </a:solidFill>
              <a:prstDash val="solid"/>
            </a:ln>
          </c:spPr>
          <c:invertIfNegative val="0"/>
          <c:dLbls>
            <c:dLbl>
              <c:idx val="0"/>
              <c:layout>
                <c:manualLayout>
                  <c:x val="1.6324604375593112E-2"/>
                  <c:y val="-3.7790578191148733E-3"/>
                </c:manualLayout>
              </c:layout>
              <c:spPr>
                <a:noFill/>
                <a:ln w="25399">
                  <a:noFill/>
                </a:ln>
              </c:spPr>
              <c:txPr>
                <a:bodyPr/>
                <a:lstStyle/>
                <a:p>
                  <a:pPr>
                    <a:defRPr sz="85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74-4A4C-94C6-72061797FB22}"/>
                </c:ext>
              </c:extLst>
            </c:dLbl>
            <c:dLbl>
              <c:idx val="1"/>
              <c:layout>
                <c:manualLayout>
                  <c:x val="1.5103063257157974E-2"/>
                  <c:y val="-4.6710939656032843E-3"/>
                </c:manualLayout>
              </c:layout>
              <c:spPr>
                <a:noFill/>
                <a:ln w="25399">
                  <a:noFill/>
                </a:ln>
              </c:spPr>
              <c:txPr>
                <a:bodyPr/>
                <a:lstStyle/>
                <a:p>
                  <a:pPr>
                    <a:defRPr sz="85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74-4A4C-94C6-72061797FB22}"/>
                </c:ext>
              </c:extLst>
            </c:dLbl>
            <c:dLbl>
              <c:idx val="2"/>
              <c:layout>
                <c:manualLayout>
                  <c:x val="1.4125864560089643E-2"/>
                  <c:y val="-5.4412325976031916E-3"/>
                </c:manualLayout>
              </c:layout>
              <c:spPr>
                <a:noFill/>
                <a:ln w="25399">
                  <a:noFill/>
                </a:ln>
              </c:spPr>
              <c:txPr>
                <a:bodyPr/>
                <a:lstStyle/>
                <a:p>
                  <a:pPr>
                    <a:defRPr sz="850" b="1" i="0" u="none" strike="noStrike" baseline="0">
                      <a:solidFill>
                        <a:srgbClr val="00FFFF"/>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74-4A4C-94C6-72061797FB22}"/>
                </c:ext>
              </c:extLst>
            </c:dLbl>
            <c:spPr>
              <a:noFill/>
              <a:ln w="25399">
                <a:noFill/>
              </a:ln>
            </c:spPr>
            <c:txPr>
              <a:bodyPr wrap="square" lIns="38100" tIns="19050" rIns="38100" bIns="19050" anchor="ctr">
                <a:spAutoFit/>
              </a:bodyPr>
              <a:lstStyle/>
              <a:p>
                <a:pPr>
                  <a:defRPr sz="850" b="1" i="0" u="none" strike="noStrike" baseline="0">
                    <a:solidFill>
                      <a:srgbClr val="00FFFF"/>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Sayfa1!$B$6:$F$6</c:f>
              <c:numCache>
                <c:formatCode>#.##0</c:formatCode>
                <c:ptCount val="5"/>
                <c:pt idx="0">
                  <c:v>4942</c:v>
                </c:pt>
                <c:pt idx="1">
                  <c:v>847</c:v>
                </c:pt>
                <c:pt idx="2">
                  <c:v>1744</c:v>
                </c:pt>
                <c:pt idx="3">
                  <c:v>5210</c:v>
                </c:pt>
                <c:pt idx="4">
                  <c:v>4147</c:v>
                </c:pt>
              </c:numCache>
            </c:numRef>
          </c:val>
          <c:extLst>
            <c:ext xmlns:c16="http://schemas.microsoft.com/office/drawing/2014/chart" uri="{C3380CC4-5D6E-409C-BE32-E72D297353CC}">
              <c16:uniqueId val="{00000005-2974-4A4C-94C6-72061797FB22}"/>
            </c:ext>
          </c:extLst>
        </c:ser>
        <c:ser>
          <c:idx val="2"/>
          <c:order val="2"/>
          <c:tx>
            <c:strRef>
              <c:f>Sayfa1!$A$7</c:f>
              <c:strCache>
                <c:ptCount val="1"/>
                <c:pt idx="0">
                  <c:v>Gerçekleşme Oranı</c:v>
                </c:pt>
              </c:strCache>
            </c:strRef>
          </c:tx>
          <c:spPr>
            <a:solidFill>
              <a:srgbClr val="00FF00"/>
            </a:solidFill>
            <a:ln w="12700">
              <a:solidFill>
                <a:srgbClr val="000000"/>
              </a:solidFill>
              <a:prstDash val="solid"/>
            </a:ln>
          </c:spPr>
          <c:invertIfNegative val="0"/>
          <c:dLbls>
            <c:dLbl>
              <c:idx val="0"/>
              <c:layout>
                <c:manualLayout>
                  <c:x val="-2.2410252464370284E-2"/>
                  <c:y val="-0.46077190015677566"/>
                </c:manualLayout>
              </c:layout>
              <c:numFmt formatCode="0%" sourceLinked="0"/>
              <c:spPr>
                <a:noFill/>
                <a:ln w="25399">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74-4A4C-94C6-72061797FB22}"/>
                </c:ext>
              </c:extLst>
            </c:dLbl>
            <c:dLbl>
              <c:idx val="1"/>
              <c:layout>
                <c:manualLayout>
                  <c:x val="-2.8273615635179185E-2"/>
                  <c:y val="-8.7170345317573547E-2"/>
                </c:manualLayout>
              </c:layout>
              <c:numFmt formatCode="0%" sourceLinked="0"/>
              <c:spPr>
                <a:noFill/>
                <a:ln w="25399">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74-4A4C-94C6-72061797FB22}"/>
                </c:ext>
              </c:extLst>
            </c:dLbl>
            <c:dLbl>
              <c:idx val="2"/>
              <c:layout>
                <c:manualLayout>
                  <c:x val="-9.7068403908794273E-3"/>
                  <c:y val="-0.17442031155501544"/>
                </c:manualLayout>
              </c:layout>
              <c:numFmt formatCode="0%" sourceLinked="0"/>
              <c:spPr>
                <a:noFill/>
                <a:ln w="25399">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74-4A4C-94C6-72061797FB22}"/>
                </c:ext>
              </c:extLst>
            </c:dLbl>
            <c:dLbl>
              <c:idx val="3"/>
              <c:layout>
                <c:manualLayout>
                  <c:x val="-4.651465798045603E-2"/>
                  <c:y val="-5.1375692132443182E-2"/>
                </c:manualLayout>
              </c:layout>
              <c:numFmt formatCode="0%" sourceLinked="0"/>
              <c:spPr>
                <a:noFill/>
                <a:ln w="25399">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74-4A4C-94C6-72061797FB22}"/>
                </c:ext>
              </c:extLst>
            </c:dLbl>
            <c:dLbl>
              <c:idx val="4"/>
              <c:layout>
                <c:manualLayout>
                  <c:x val="-4.773619909889109E-2"/>
                  <c:y val="-0.1431018102602947"/>
                </c:manualLayout>
              </c:layout>
              <c:numFmt formatCode="0%" sourceLinked="0"/>
              <c:spPr>
                <a:noFill/>
                <a:ln w="25399">
                  <a:noFill/>
                </a:ln>
              </c:spPr>
              <c:txPr>
                <a:bodyPr/>
                <a:lstStyle/>
                <a:p>
                  <a:pPr>
                    <a:defRPr sz="850" b="1" i="0" u="none" strike="noStrike" baseline="0">
                      <a:solidFill>
                        <a:srgbClr val="00FF00"/>
                      </a:solidFill>
                      <a:latin typeface="Arial"/>
                      <a:ea typeface="Arial"/>
                      <a:cs typeface="Arial"/>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974-4A4C-94C6-72061797FB22}"/>
                </c:ext>
              </c:extLst>
            </c:dLbl>
            <c:numFmt formatCode="0%" sourceLinked="0"/>
            <c:spPr>
              <a:noFill/>
              <a:ln w="25399">
                <a:noFill/>
              </a:ln>
            </c:spPr>
            <c:txPr>
              <a:bodyPr wrap="square" lIns="38100" tIns="19050" rIns="38100" bIns="19050" anchor="ctr">
                <a:spAutoFit/>
              </a:bodyPr>
              <a:lstStyle/>
              <a:p>
                <a:pPr>
                  <a:defRPr sz="850" b="1" i="0" u="none" strike="noStrike" baseline="0">
                    <a:solidFill>
                      <a:srgbClr val="00FF00"/>
                    </a:solidFill>
                    <a:latin typeface="Arial"/>
                    <a:ea typeface="Arial"/>
                    <a:cs typeface="Arial"/>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Sayfa1!$B$4:$F$4</c:f>
              <c:strCache>
                <c:ptCount val="5"/>
                <c:pt idx="0">
                  <c:v>Personel Gideri</c:v>
                </c:pt>
                <c:pt idx="1">
                  <c:v>Sosyal Güv. Kur. Dev Prim Gid.</c:v>
                </c:pt>
                <c:pt idx="2">
                  <c:v>Mal ve Hiz. Alım Gideri</c:v>
                </c:pt>
                <c:pt idx="3">
                  <c:v>Cari Transferler</c:v>
                </c:pt>
                <c:pt idx="4">
                  <c:v>Sermaye Gid. ve Sermaye Trans. Giderleri</c:v>
                </c:pt>
              </c:strCache>
            </c:strRef>
          </c:cat>
          <c:val>
            <c:numRef>
              <c:f>Sayfa1!$B$7:$F$7</c:f>
              <c:numCache>
                <c:formatCode>#,000</c:formatCode>
                <c:ptCount val="5"/>
                <c:pt idx="0">
                  <c:v>0.54271908631671428</c:v>
                </c:pt>
                <c:pt idx="1">
                  <c:v>0.51772616136919314</c:v>
                </c:pt>
                <c:pt idx="2">
                  <c:v>0.8870803662258393</c:v>
                </c:pt>
                <c:pt idx="3">
                  <c:v>1.9976993865030674</c:v>
                </c:pt>
                <c:pt idx="4">
                  <c:v>1.3823333333333334</c:v>
                </c:pt>
              </c:numCache>
            </c:numRef>
          </c:val>
          <c:extLst>
            <c:ext xmlns:c16="http://schemas.microsoft.com/office/drawing/2014/chart" uri="{C3380CC4-5D6E-409C-BE32-E72D297353CC}">
              <c16:uniqueId val="{0000000B-2974-4A4C-94C6-72061797FB22}"/>
            </c:ext>
          </c:extLst>
        </c:ser>
        <c:dLbls>
          <c:showLegendKey val="0"/>
          <c:showVal val="1"/>
          <c:showCatName val="0"/>
          <c:showSerName val="0"/>
          <c:showPercent val="0"/>
          <c:showBubbleSize val="0"/>
        </c:dLbls>
        <c:gapWidth val="150"/>
        <c:axId val="872970512"/>
        <c:axId val="1"/>
      </c:barChart>
      <c:catAx>
        <c:axId val="872970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FFFFFF"/>
                </a:solidFill>
                <a:latin typeface="Arial"/>
                <a:ea typeface="Arial"/>
                <a:cs typeface="Arial"/>
              </a:defRPr>
            </a:pPr>
            <a:endParaRPr lang="tr-TR"/>
          </a:p>
        </c:txPr>
        <c:crossAx val="1"/>
        <c:crosses val="autoZero"/>
        <c:auto val="1"/>
        <c:lblAlgn val="ctr"/>
        <c:lblOffset val="100"/>
        <c:tickLblSkip val="1"/>
        <c:tickMarkSkip val="1"/>
        <c:noMultiLvlLbl val="0"/>
      </c:catAx>
      <c:valAx>
        <c:axId val="1"/>
        <c:scaling>
          <c:orientation val="minMax"/>
          <c:max val="80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1125" b="0" i="0" u="none" strike="noStrike" baseline="0">
                <a:solidFill>
                  <a:srgbClr val="FFFFFF"/>
                </a:solidFill>
                <a:latin typeface="Arial"/>
                <a:ea typeface="Arial"/>
                <a:cs typeface="Arial"/>
              </a:defRPr>
            </a:pPr>
            <a:endParaRPr lang="tr-TR"/>
          </a:p>
        </c:txPr>
        <c:crossAx val="872970512"/>
        <c:crosses val="autoZero"/>
        <c:crossBetween val="between"/>
      </c:valAx>
      <c:spPr>
        <a:solidFill>
          <a:srgbClr val="003366"/>
        </a:solidFill>
        <a:ln w="12700">
          <a:solidFill>
            <a:srgbClr val="808080"/>
          </a:solidFill>
          <a:prstDash val="solid"/>
        </a:ln>
      </c:spPr>
    </c:plotArea>
    <c:legend>
      <c:legendPos val="b"/>
      <c:layout>
        <c:manualLayout>
          <c:xMode val="edge"/>
          <c:yMode val="edge"/>
          <c:wMode val="edge"/>
          <c:hMode val="edge"/>
          <c:x val="6.0260650809652254E-2"/>
          <c:y val="0.90156589801274833"/>
          <c:w val="0.9315961456375047"/>
          <c:h val="0.99328857330333697"/>
        </c:manualLayout>
      </c:layout>
      <c:overlay val="0"/>
      <c:spPr>
        <a:solidFill>
          <a:srgbClr val="000000"/>
        </a:solidFill>
        <a:ln w="3175">
          <a:solidFill>
            <a:srgbClr val="000000"/>
          </a:solidFill>
          <a:prstDash val="solid"/>
        </a:ln>
      </c:spPr>
      <c:txPr>
        <a:bodyPr/>
        <a:lstStyle/>
        <a:p>
          <a:pPr>
            <a:defRPr sz="735" b="0" i="0" u="none" strike="noStrike" baseline="0">
              <a:solidFill>
                <a:srgbClr val="FFFFFF"/>
              </a:solidFill>
              <a:latin typeface="Arial"/>
              <a:ea typeface="Arial"/>
              <a:cs typeface="Arial"/>
            </a:defRPr>
          </a:pPr>
          <a:endParaRPr lang="tr-TR"/>
        </a:p>
      </c:txPr>
    </c:legend>
    <c:plotVisOnly val="1"/>
    <c:dispBlanksAs val="gap"/>
    <c:showDLblsOverMax val="0"/>
  </c:chart>
  <c:spPr>
    <a:solidFill>
      <a:srgbClr val="800000"/>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1003</Words>
  <Characters>5718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3900</dc:creator>
  <cp:keywords/>
  <dc:description/>
  <cp:lastModifiedBy>MEHMET OZER</cp:lastModifiedBy>
  <cp:revision>2</cp:revision>
  <cp:lastPrinted>2010-07-16T06:50:00Z</cp:lastPrinted>
  <dcterms:created xsi:type="dcterms:W3CDTF">2025-10-10T11:34:00Z</dcterms:created>
  <dcterms:modified xsi:type="dcterms:W3CDTF">2025-10-10T11:34:00Z</dcterms:modified>
</cp:coreProperties>
</file>