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3F" w:rsidRPr="005957A3" w:rsidRDefault="00850E3F" w:rsidP="004E1788">
      <w:pPr>
        <w:ind w:right="72"/>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A842BE">
      <w:pPr>
        <w:ind w:right="72"/>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2E48D2" w:rsidRPr="005957A3" w:rsidRDefault="002E48D2" w:rsidP="002E4ABE">
      <w:pPr>
        <w:ind w:left="1800" w:right="72" w:firstLine="720"/>
        <w:jc w:val="both"/>
        <w:rPr>
          <w:b/>
          <w:color w:val="000080"/>
          <w:sz w:val="20"/>
          <w:szCs w:val="20"/>
        </w:rPr>
      </w:pPr>
    </w:p>
    <w:p w:rsidR="000D5776" w:rsidRPr="005957A3" w:rsidRDefault="000D5776" w:rsidP="003D11D4">
      <w:pPr>
        <w:ind w:right="72"/>
        <w:jc w:val="both"/>
        <w:rPr>
          <w:b/>
          <w:color w:val="000080"/>
          <w:sz w:val="22"/>
          <w:szCs w:val="22"/>
        </w:rPr>
      </w:pPr>
    </w:p>
    <w:p w:rsidR="000D5776" w:rsidRPr="005957A3" w:rsidRDefault="000D5776" w:rsidP="002E4ABE">
      <w:pPr>
        <w:ind w:left="1800" w:right="72" w:firstLine="720"/>
        <w:jc w:val="both"/>
        <w:rPr>
          <w:b/>
          <w:color w:val="000080"/>
          <w:sz w:val="22"/>
          <w:szCs w:val="22"/>
        </w:rPr>
      </w:pPr>
    </w:p>
    <w:p w:rsidR="0089084D" w:rsidRPr="005957A3" w:rsidRDefault="0089084D" w:rsidP="0089084D">
      <w:pPr>
        <w:tabs>
          <w:tab w:val="left" w:pos="567"/>
        </w:tabs>
        <w:jc w:val="center"/>
        <w:rPr>
          <w:b/>
          <w:sz w:val="26"/>
          <w:szCs w:val="26"/>
        </w:rPr>
      </w:pPr>
      <w:r w:rsidRPr="005957A3">
        <w:rPr>
          <w:b/>
          <w:sz w:val="26"/>
          <w:szCs w:val="26"/>
        </w:rPr>
        <w:t xml:space="preserve">YÜKSEKÖĞRETİM KURULU </w:t>
      </w:r>
    </w:p>
    <w:p w:rsidR="00A842BE" w:rsidRPr="005957A3" w:rsidRDefault="00A842BE" w:rsidP="0089084D">
      <w:pPr>
        <w:tabs>
          <w:tab w:val="left" w:pos="567"/>
        </w:tabs>
        <w:jc w:val="center"/>
        <w:rPr>
          <w:b/>
          <w:sz w:val="26"/>
          <w:szCs w:val="26"/>
        </w:rPr>
      </w:pPr>
    </w:p>
    <w:p w:rsidR="0089084D" w:rsidRPr="005957A3" w:rsidRDefault="00C01602" w:rsidP="003B0A6F">
      <w:pPr>
        <w:tabs>
          <w:tab w:val="left" w:pos="567"/>
        </w:tabs>
        <w:jc w:val="center"/>
        <w:rPr>
          <w:b/>
          <w:sz w:val="26"/>
          <w:szCs w:val="26"/>
        </w:rPr>
      </w:pPr>
      <w:r w:rsidRPr="005957A3">
        <w:rPr>
          <w:b/>
          <w:sz w:val="26"/>
          <w:szCs w:val="26"/>
        </w:rPr>
        <w:t xml:space="preserve">        </w:t>
      </w:r>
      <w:r w:rsidR="0089084D" w:rsidRPr="005957A3">
        <w:rPr>
          <w:b/>
          <w:sz w:val="26"/>
          <w:szCs w:val="26"/>
        </w:rPr>
        <w:t>20</w:t>
      </w:r>
      <w:r w:rsidR="00FE7C01">
        <w:rPr>
          <w:b/>
          <w:sz w:val="26"/>
          <w:szCs w:val="26"/>
        </w:rPr>
        <w:t>1</w:t>
      </w:r>
      <w:r w:rsidR="006F4CD8">
        <w:rPr>
          <w:b/>
          <w:sz w:val="26"/>
          <w:szCs w:val="26"/>
        </w:rPr>
        <w:t>2</w:t>
      </w:r>
      <w:r w:rsidR="0089084D" w:rsidRPr="005957A3">
        <w:rPr>
          <w:b/>
          <w:sz w:val="26"/>
          <w:szCs w:val="26"/>
        </w:rPr>
        <w:t xml:space="preserve"> YILI KURUMSAL MALİ DURUM VE BEKLENTİLER RAPORU</w:t>
      </w:r>
    </w:p>
    <w:p w:rsidR="00FD4C3E" w:rsidRPr="005957A3" w:rsidRDefault="00FD4C3E" w:rsidP="00FD4C3E">
      <w:pPr>
        <w:ind w:left="1800" w:right="72" w:firstLine="720"/>
        <w:jc w:val="both"/>
        <w:rPr>
          <w:b/>
          <w:color w:val="000080"/>
          <w:sz w:val="26"/>
          <w:szCs w:val="26"/>
        </w:rPr>
      </w:pPr>
    </w:p>
    <w:p w:rsidR="00FD4C3E" w:rsidRPr="005957A3" w:rsidRDefault="00FD4C3E" w:rsidP="00FD4C3E">
      <w:pPr>
        <w:ind w:left="1800" w:right="72" w:firstLine="720"/>
        <w:jc w:val="both"/>
        <w:rPr>
          <w:b/>
          <w:color w:val="000080"/>
          <w:sz w:val="26"/>
          <w:szCs w:val="26"/>
        </w:rPr>
      </w:pPr>
    </w:p>
    <w:p w:rsidR="00A842BE" w:rsidRPr="005957A3" w:rsidRDefault="00A842BE" w:rsidP="00FD4C3E">
      <w:pPr>
        <w:ind w:left="1800" w:right="72" w:firstLine="720"/>
        <w:jc w:val="both"/>
        <w:rPr>
          <w:b/>
          <w:color w:val="000080"/>
          <w:sz w:val="26"/>
          <w:szCs w:val="26"/>
        </w:rPr>
      </w:pPr>
    </w:p>
    <w:p w:rsidR="00FD4C3E" w:rsidRPr="005957A3" w:rsidRDefault="00FD4C3E" w:rsidP="00FD4C3E">
      <w:pPr>
        <w:ind w:left="1800" w:right="72" w:firstLine="720"/>
        <w:jc w:val="both"/>
        <w:rPr>
          <w:b/>
          <w:sz w:val="26"/>
          <w:szCs w:val="26"/>
        </w:rPr>
      </w:pPr>
    </w:p>
    <w:p w:rsidR="009A74F0" w:rsidRPr="005957A3" w:rsidRDefault="009A74F0" w:rsidP="001B06F4">
      <w:pPr>
        <w:ind w:left="851" w:right="567" w:firstLine="283"/>
        <w:jc w:val="both"/>
        <w:rPr>
          <w:b/>
          <w:sz w:val="26"/>
          <w:szCs w:val="26"/>
        </w:rPr>
      </w:pPr>
      <w:r w:rsidRPr="005957A3">
        <w:rPr>
          <w:b/>
          <w:sz w:val="26"/>
          <w:szCs w:val="26"/>
        </w:rPr>
        <w:t>5018 sayılı Kamu Mali Y</w:t>
      </w:r>
      <w:r w:rsidR="003F533E" w:rsidRPr="005957A3">
        <w:rPr>
          <w:b/>
          <w:sz w:val="26"/>
          <w:szCs w:val="26"/>
        </w:rPr>
        <w:t xml:space="preserve">önetimi ve Kontrol Kanununun 30 </w:t>
      </w:r>
      <w:r w:rsidRPr="005957A3">
        <w:rPr>
          <w:b/>
          <w:sz w:val="26"/>
          <w:szCs w:val="26"/>
        </w:rPr>
        <w:t xml:space="preserve">uncu maddesinde, genel yönetim kapsamındaki idarelerin, ilk altı aylık bütçe uygulama sonuçları, ikinci altı aya ilişkin beklentiler ve hedefler ile faaliyetlerini Temmuz ayı içinde kamuoyuna açıklayacakları hükme bağlanmıştır. </w:t>
      </w:r>
    </w:p>
    <w:p w:rsidR="001B06F4" w:rsidRPr="005957A3" w:rsidRDefault="001B06F4" w:rsidP="001B06F4">
      <w:pPr>
        <w:ind w:left="851" w:right="567"/>
        <w:jc w:val="both"/>
        <w:rPr>
          <w:b/>
          <w:sz w:val="26"/>
          <w:szCs w:val="26"/>
        </w:rPr>
      </w:pPr>
    </w:p>
    <w:p w:rsidR="00EE0C53" w:rsidRPr="005957A3" w:rsidRDefault="001B06F4" w:rsidP="001B06F4">
      <w:pPr>
        <w:ind w:left="851" w:right="567" w:firstLine="283"/>
        <w:jc w:val="both"/>
        <w:rPr>
          <w:b/>
          <w:sz w:val="26"/>
          <w:szCs w:val="26"/>
        </w:rPr>
      </w:pPr>
      <w:r w:rsidRPr="005957A3">
        <w:rPr>
          <w:b/>
          <w:sz w:val="26"/>
          <w:szCs w:val="26"/>
        </w:rPr>
        <w:t>Söz</w:t>
      </w:r>
      <w:r w:rsidR="002E48D2" w:rsidRPr="005957A3">
        <w:rPr>
          <w:b/>
          <w:sz w:val="26"/>
          <w:szCs w:val="26"/>
        </w:rPr>
        <w:t xml:space="preserve"> </w:t>
      </w:r>
      <w:r w:rsidRPr="005957A3">
        <w:rPr>
          <w:b/>
          <w:sz w:val="26"/>
          <w:szCs w:val="26"/>
        </w:rPr>
        <w:t xml:space="preserve">konusu </w:t>
      </w:r>
      <w:r w:rsidR="00EE0C53" w:rsidRPr="005957A3">
        <w:rPr>
          <w:b/>
          <w:sz w:val="26"/>
          <w:szCs w:val="26"/>
        </w:rPr>
        <w:t>düzenleme</w:t>
      </w:r>
      <w:r w:rsidR="00F80379" w:rsidRPr="005957A3">
        <w:rPr>
          <w:b/>
          <w:sz w:val="26"/>
          <w:szCs w:val="26"/>
        </w:rPr>
        <w:t xml:space="preserve"> </w:t>
      </w:r>
      <w:r w:rsidR="002E48D2" w:rsidRPr="005957A3">
        <w:rPr>
          <w:b/>
          <w:sz w:val="26"/>
          <w:szCs w:val="26"/>
        </w:rPr>
        <w:t>ile</w:t>
      </w:r>
      <w:r w:rsidR="00EE0C53" w:rsidRPr="005957A3">
        <w:rPr>
          <w:b/>
          <w:sz w:val="26"/>
          <w:szCs w:val="26"/>
        </w:rPr>
        <w:t xml:space="preserve"> k</w:t>
      </w:r>
      <w:r w:rsidR="009A74F0" w:rsidRPr="005957A3">
        <w:rPr>
          <w:b/>
          <w:sz w:val="26"/>
          <w:szCs w:val="26"/>
        </w:rPr>
        <w:t>amu hizmetlerinin yürütülmesinde ve bütçe uygulamalarında saydamlığın ve hesap verilebilirliğin artır</w:t>
      </w:r>
      <w:r w:rsidR="00823C01">
        <w:rPr>
          <w:b/>
          <w:sz w:val="26"/>
          <w:szCs w:val="26"/>
        </w:rPr>
        <w:t xml:space="preserve">ılması, </w:t>
      </w:r>
      <w:r w:rsidR="009A74F0" w:rsidRPr="005957A3">
        <w:rPr>
          <w:b/>
          <w:sz w:val="26"/>
          <w:szCs w:val="26"/>
        </w:rPr>
        <w:t>kamuoyunun kamu idareleri üzerindeki genel denetim ve gözetim fonksiyonunun gereği şekilde gerçekleştirilmesini</w:t>
      </w:r>
      <w:r w:rsidR="00674BE8" w:rsidRPr="005957A3">
        <w:rPr>
          <w:b/>
          <w:sz w:val="26"/>
          <w:szCs w:val="26"/>
        </w:rPr>
        <w:t>n</w:t>
      </w:r>
      <w:r w:rsidR="009A74F0" w:rsidRPr="005957A3">
        <w:rPr>
          <w:b/>
          <w:sz w:val="26"/>
          <w:szCs w:val="26"/>
        </w:rPr>
        <w:t xml:space="preserve"> sağla</w:t>
      </w:r>
      <w:r w:rsidR="00674BE8" w:rsidRPr="005957A3">
        <w:rPr>
          <w:b/>
          <w:sz w:val="26"/>
          <w:szCs w:val="26"/>
        </w:rPr>
        <w:t xml:space="preserve">nması </w:t>
      </w:r>
      <w:r w:rsidR="00EE0C53" w:rsidRPr="005957A3">
        <w:rPr>
          <w:b/>
          <w:sz w:val="26"/>
          <w:szCs w:val="26"/>
        </w:rPr>
        <w:t>amaçlanmıştır.</w:t>
      </w:r>
    </w:p>
    <w:p w:rsidR="001B06F4" w:rsidRPr="005957A3" w:rsidRDefault="001B06F4" w:rsidP="001B06F4">
      <w:pPr>
        <w:ind w:left="851" w:right="567"/>
        <w:jc w:val="both"/>
        <w:rPr>
          <w:b/>
          <w:sz w:val="26"/>
          <w:szCs w:val="26"/>
        </w:rPr>
      </w:pPr>
    </w:p>
    <w:p w:rsidR="009A74F0" w:rsidRPr="005957A3" w:rsidRDefault="00EE0C53" w:rsidP="00C01602">
      <w:pPr>
        <w:ind w:left="851" w:right="567" w:firstLine="283"/>
        <w:jc w:val="both"/>
        <w:rPr>
          <w:b/>
          <w:sz w:val="26"/>
          <w:szCs w:val="26"/>
        </w:rPr>
      </w:pPr>
      <w:r w:rsidRPr="005957A3">
        <w:rPr>
          <w:b/>
          <w:sz w:val="26"/>
          <w:szCs w:val="26"/>
        </w:rPr>
        <w:t>Bu amaç doğrultusunda, g</w:t>
      </w:r>
      <w:r w:rsidR="00D866D4" w:rsidRPr="005957A3">
        <w:rPr>
          <w:b/>
          <w:sz w:val="26"/>
          <w:szCs w:val="26"/>
        </w:rPr>
        <w:t xml:space="preserve">enel </w:t>
      </w:r>
      <w:r w:rsidR="00823C01">
        <w:rPr>
          <w:b/>
          <w:sz w:val="26"/>
          <w:szCs w:val="26"/>
        </w:rPr>
        <w:t>yönetim</w:t>
      </w:r>
      <w:r w:rsidR="00D866D4" w:rsidRPr="005957A3">
        <w:rPr>
          <w:b/>
          <w:sz w:val="26"/>
          <w:szCs w:val="26"/>
        </w:rPr>
        <w:t xml:space="preserve"> kapsamındaki kamu idareleri arasında yer alan Başkanlığımız</w:t>
      </w:r>
      <w:r w:rsidR="00823C01">
        <w:rPr>
          <w:b/>
          <w:sz w:val="26"/>
          <w:szCs w:val="26"/>
        </w:rPr>
        <w:t>ın</w:t>
      </w:r>
      <w:r w:rsidR="00D866D4" w:rsidRPr="005957A3">
        <w:rPr>
          <w:b/>
          <w:sz w:val="26"/>
          <w:szCs w:val="26"/>
        </w:rPr>
        <w:t xml:space="preserve">, </w:t>
      </w:r>
      <w:r w:rsidR="00AA417E" w:rsidRPr="005957A3">
        <w:rPr>
          <w:b/>
          <w:sz w:val="26"/>
          <w:szCs w:val="26"/>
        </w:rPr>
        <w:t>yılın ilk altı aylık dönemine ilişkin bütçe uygulamaları, ikinci altı aya ilişkin beklentiler</w:t>
      </w:r>
      <w:r w:rsidR="00823C01">
        <w:rPr>
          <w:b/>
          <w:sz w:val="26"/>
          <w:szCs w:val="26"/>
        </w:rPr>
        <w:t xml:space="preserve"> ve hedefler ile faaliyetlerin yer aldığı </w:t>
      </w:r>
      <w:r w:rsidR="00D866D4" w:rsidRPr="005957A3">
        <w:rPr>
          <w:b/>
          <w:sz w:val="26"/>
          <w:szCs w:val="26"/>
        </w:rPr>
        <w:t>“</w:t>
      </w:r>
      <w:r w:rsidR="002E48D2" w:rsidRPr="005957A3">
        <w:rPr>
          <w:b/>
          <w:sz w:val="26"/>
          <w:szCs w:val="26"/>
        </w:rPr>
        <w:t>2011</w:t>
      </w:r>
      <w:r w:rsidR="00384D9A" w:rsidRPr="005957A3">
        <w:rPr>
          <w:b/>
          <w:sz w:val="26"/>
          <w:szCs w:val="26"/>
        </w:rPr>
        <w:t xml:space="preserve"> Yılı Kurumsal Mali Durum ve Beklentiler Raporu</w:t>
      </w:r>
      <w:r w:rsidR="00D866D4" w:rsidRPr="005957A3">
        <w:rPr>
          <w:b/>
          <w:sz w:val="26"/>
          <w:szCs w:val="26"/>
        </w:rPr>
        <w:t>” ekleriyle birlikte k</w:t>
      </w:r>
      <w:r w:rsidR="009A74F0" w:rsidRPr="005957A3">
        <w:rPr>
          <w:b/>
          <w:sz w:val="26"/>
          <w:szCs w:val="26"/>
        </w:rPr>
        <w:t>amuoyunun bilgisine sun</w:t>
      </w:r>
      <w:r w:rsidR="00F12CEA" w:rsidRPr="005957A3">
        <w:rPr>
          <w:b/>
          <w:sz w:val="26"/>
          <w:szCs w:val="26"/>
        </w:rPr>
        <w:t>ul</w:t>
      </w:r>
      <w:r w:rsidR="009A74F0" w:rsidRPr="005957A3">
        <w:rPr>
          <w:b/>
          <w:sz w:val="26"/>
          <w:szCs w:val="26"/>
        </w:rPr>
        <w:t xml:space="preserve">muştur. </w:t>
      </w:r>
    </w:p>
    <w:p w:rsidR="003F533E" w:rsidRPr="005957A3" w:rsidRDefault="003F533E" w:rsidP="00C05A15">
      <w:pPr>
        <w:jc w:val="both"/>
        <w:rPr>
          <w:color w:val="333399"/>
          <w:sz w:val="26"/>
          <w:szCs w:val="26"/>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E67545" w:rsidRDefault="00E67545" w:rsidP="00C05A15">
      <w:pPr>
        <w:jc w:val="both"/>
        <w:rPr>
          <w:color w:val="333399"/>
          <w:sz w:val="20"/>
          <w:szCs w:val="20"/>
        </w:rPr>
      </w:pPr>
    </w:p>
    <w:p w:rsidR="003D11D4" w:rsidRDefault="003D11D4" w:rsidP="00C05A15">
      <w:pPr>
        <w:jc w:val="both"/>
        <w:rPr>
          <w:color w:val="333399"/>
          <w:sz w:val="20"/>
          <w:szCs w:val="20"/>
        </w:rPr>
      </w:pPr>
    </w:p>
    <w:p w:rsidR="00823C01" w:rsidRPr="005957A3" w:rsidRDefault="00823C01" w:rsidP="00C05A15">
      <w:pPr>
        <w:jc w:val="both"/>
        <w:rPr>
          <w:color w:val="333399"/>
          <w:sz w:val="20"/>
          <w:szCs w:val="20"/>
        </w:rPr>
      </w:pPr>
    </w:p>
    <w:p w:rsidR="002E48D2" w:rsidRPr="005957A3" w:rsidRDefault="002E48D2" w:rsidP="00C05A15">
      <w:pPr>
        <w:jc w:val="both"/>
        <w:rPr>
          <w:color w:val="333399"/>
          <w:sz w:val="20"/>
          <w:szCs w:val="20"/>
        </w:rPr>
      </w:pPr>
    </w:p>
    <w:p w:rsidR="00E67545" w:rsidRPr="005957A3" w:rsidRDefault="00E67545" w:rsidP="00C05A15">
      <w:pPr>
        <w:jc w:val="both"/>
        <w:rPr>
          <w:color w:val="333399"/>
          <w:sz w:val="20"/>
          <w:szCs w:val="20"/>
        </w:rPr>
      </w:pPr>
    </w:p>
    <w:p w:rsidR="00E67545" w:rsidRPr="005957A3" w:rsidRDefault="00E67545" w:rsidP="00C05A15">
      <w:pPr>
        <w:jc w:val="both"/>
        <w:rPr>
          <w:color w:val="333399"/>
          <w:sz w:val="20"/>
          <w:szCs w:val="20"/>
        </w:rPr>
      </w:pPr>
    </w:p>
    <w:p w:rsidR="00853CCC" w:rsidRPr="005957A3" w:rsidRDefault="00853CCC" w:rsidP="00C05A15">
      <w:pPr>
        <w:jc w:val="both"/>
        <w:rPr>
          <w:color w:val="333399"/>
          <w:sz w:val="20"/>
          <w:szCs w:val="20"/>
        </w:rPr>
      </w:pPr>
    </w:p>
    <w:p w:rsidR="00E67545" w:rsidRPr="005957A3" w:rsidRDefault="00961E9B" w:rsidP="0089084D">
      <w:pPr>
        <w:pStyle w:val="Balk1"/>
        <w:numPr>
          <w:ilvl w:val="0"/>
          <w:numId w:val="1"/>
        </w:numPr>
        <w:ind w:right="139"/>
        <w:rPr>
          <w:rFonts w:ascii="Times New Roman" w:hAnsi="Times New Roman" w:cs="Times New Roman"/>
          <w:sz w:val="22"/>
          <w:szCs w:val="22"/>
        </w:rPr>
      </w:pPr>
      <w:r w:rsidRPr="005957A3">
        <w:rPr>
          <w:rFonts w:ascii="Times New Roman" w:hAnsi="Times New Roman" w:cs="Times New Roman"/>
          <w:sz w:val="22"/>
          <w:szCs w:val="22"/>
        </w:rPr>
        <w:lastRenderedPageBreak/>
        <w:t>OCAK-HAZ</w:t>
      </w:r>
      <w:r w:rsidR="00A842BE" w:rsidRPr="005957A3">
        <w:rPr>
          <w:rFonts w:ascii="Times New Roman" w:hAnsi="Times New Roman" w:cs="Times New Roman"/>
          <w:sz w:val="22"/>
          <w:szCs w:val="22"/>
        </w:rPr>
        <w:t>İ</w:t>
      </w:r>
      <w:r w:rsidR="00C01602" w:rsidRPr="005957A3">
        <w:rPr>
          <w:rFonts w:ascii="Times New Roman" w:hAnsi="Times New Roman" w:cs="Times New Roman"/>
          <w:sz w:val="22"/>
          <w:szCs w:val="22"/>
        </w:rPr>
        <w:t>RAN 2011</w:t>
      </w:r>
      <w:r w:rsidR="00E67545" w:rsidRPr="005957A3">
        <w:rPr>
          <w:rFonts w:ascii="Times New Roman" w:hAnsi="Times New Roman" w:cs="Times New Roman"/>
          <w:sz w:val="22"/>
          <w:szCs w:val="22"/>
        </w:rPr>
        <w:t xml:space="preserve"> DÖNEMİ BÜTÇE UYGULAMA SONUÇLARI</w:t>
      </w:r>
    </w:p>
    <w:p w:rsidR="00853CCC" w:rsidRPr="005957A3" w:rsidRDefault="00853CCC" w:rsidP="0089084D">
      <w:pPr>
        <w:tabs>
          <w:tab w:val="left" w:pos="540"/>
        </w:tabs>
        <w:ind w:left="1004"/>
        <w:jc w:val="both"/>
        <w:rPr>
          <w:b/>
          <w:sz w:val="22"/>
          <w:szCs w:val="22"/>
        </w:rPr>
      </w:pPr>
    </w:p>
    <w:p w:rsidR="00853CCC" w:rsidRPr="005957A3" w:rsidRDefault="00853CCC" w:rsidP="0089084D">
      <w:pPr>
        <w:tabs>
          <w:tab w:val="left" w:pos="540"/>
        </w:tabs>
        <w:ind w:left="1004"/>
        <w:jc w:val="both"/>
        <w:rPr>
          <w:b/>
          <w:sz w:val="22"/>
          <w:szCs w:val="22"/>
        </w:rPr>
      </w:pPr>
    </w:p>
    <w:p w:rsidR="0089084D" w:rsidRPr="005957A3" w:rsidRDefault="0089084D" w:rsidP="0089084D">
      <w:pPr>
        <w:tabs>
          <w:tab w:val="left" w:pos="540"/>
        </w:tabs>
        <w:ind w:left="1004"/>
        <w:jc w:val="both"/>
        <w:rPr>
          <w:b/>
          <w:sz w:val="22"/>
          <w:szCs w:val="22"/>
        </w:rPr>
      </w:pPr>
      <w:r w:rsidRPr="005957A3">
        <w:rPr>
          <w:b/>
          <w:sz w:val="22"/>
          <w:szCs w:val="22"/>
        </w:rPr>
        <w:t xml:space="preserve">A.Bütçe Giderleri </w:t>
      </w:r>
    </w:p>
    <w:p w:rsidR="0089084D" w:rsidRPr="005957A3" w:rsidRDefault="0089084D" w:rsidP="0089084D">
      <w:pPr>
        <w:rPr>
          <w:sz w:val="22"/>
          <w:szCs w:val="22"/>
        </w:rPr>
      </w:pPr>
    </w:p>
    <w:p w:rsidR="00E67545" w:rsidRPr="005957A3" w:rsidRDefault="00E67545" w:rsidP="001B06F4">
      <w:pPr>
        <w:spacing w:line="312" w:lineRule="auto"/>
        <w:ind w:right="139" w:hanging="76"/>
        <w:jc w:val="both"/>
        <w:rPr>
          <w:bCs/>
          <w:sz w:val="22"/>
          <w:szCs w:val="22"/>
        </w:rPr>
      </w:pPr>
    </w:p>
    <w:p w:rsidR="00E67545" w:rsidRPr="005957A3" w:rsidRDefault="001B06F4" w:rsidP="001B06F4">
      <w:pPr>
        <w:spacing w:line="312" w:lineRule="auto"/>
        <w:ind w:right="139" w:hanging="76"/>
        <w:jc w:val="both"/>
        <w:rPr>
          <w:sz w:val="22"/>
          <w:szCs w:val="22"/>
        </w:rPr>
      </w:pPr>
      <w:r w:rsidRPr="005957A3">
        <w:rPr>
          <w:bCs/>
          <w:sz w:val="22"/>
          <w:szCs w:val="22"/>
        </w:rPr>
        <w:t xml:space="preserve"> </w:t>
      </w:r>
      <w:r w:rsidR="00853CCC" w:rsidRPr="005957A3">
        <w:rPr>
          <w:bCs/>
          <w:sz w:val="22"/>
          <w:szCs w:val="22"/>
        </w:rPr>
        <w:tab/>
      </w:r>
      <w:r w:rsidR="00853CCC" w:rsidRPr="005957A3">
        <w:rPr>
          <w:bCs/>
          <w:sz w:val="22"/>
          <w:szCs w:val="22"/>
        </w:rPr>
        <w:tab/>
      </w:r>
      <w:r w:rsidR="00E67545" w:rsidRPr="005957A3">
        <w:rPr>
          <w:bCs/>
          <w:sz w:val="22"/>
          <w:szCs w:val="22"/>
        </w:rPr>
        <w:t xml:space="preserve">Bilindiği üzere, </w:t>
      </w:r>
      <w:r w:rsidR="00E67545" w:rsidRPr="005957A3">
        <w:rPr>
          <w:sz w:val="22"/>
          <w:szCs w:val="22"/>
        </w:rPr>
        <w:t>20</w:t>
      </w:r>
      <w:r w:rsidR="00961E9B" w:rsidRPr="005957A3">
        <w:rPr>
          <w:sz w:val="22"/>
          <w:szCs w:val="22"/>
        </w:rPr>
        <w:t>1</w:t>
      </w:r>
      <w:r w:rsidR="002F0129">
        <w:rPr>
          <w:sz w:val="22"/>
          <w:szCs w:val="22"/>
        </w:rPr>
        <w:t>2</w:t>
      </w:r>
      <w:r w:rsidR="00E67545" w:rsidRPr="005957A3">
        <w:rPr>
          <w:sz w:val="22"/>
          <w:szCs w:val="22"/>
        </w:rPr>
        <w:t xml:space="preserve"> yılı Merkezi Yönetim Bütçe Kanunu </w:t>
      </w:r>
      <w:r w:rsidR="002F0129">
        <w:rPr>
          <w:sz w:val="22"/>
          <w:szCs w:val="22"/>
        </w:rPr>
        <w:t>29</w:t>
      </w:r>
      <w:r w:rsidR="002E48D2" w:rsidRPr="005957A3">
        <w:rPr>
          <w:sz w:val="22"/>
          <w:szCs w:val="22"/>
        </w:rPr>
        <w:t xml:space="preserve"> Aralık 201</w:t>
      </w:r>
      <w:r w:rsidR="002F0129">
        <w:rPr>
          <w:sz w:val="22"/>
          <w:szCs w:val="22"/>
        </w:rPr>
        <w:t>1</w:t>
      </w:r>
      <w:r w:rsidR="00E67545" w:rsidRPr="005957A3">
        <w:rPr>
          <w:sz w:val="22"/>
          <w:szCs w:val="22"/>
        </w:rPr>
        <w:t xml:space="preserve"> tarih ve 2</w:t>
      </w:r>
      <w:r w:rsidR="002F0129">
        <w:rPr>
          <w:sz w:val="22"/>
          <w:szCs w:val="22"/>
        </w:rPr>
        <w:t>8157</w:t>
      </w:r>
      <w:r w:rsidR="00E67545" w:rsidRPr="005957A3">
        <w:rPr>
          <w:sz w:val="22"/>
          <w:szCs w:val="22"/>
        </w:rPr>
        <w:t xml:space="preserve"> Mükerrer </w:t>
      </w:r>
      <w:r w:rsidR="00961E9B" w:rsidRPr="005957A3">
        <w:rPr>
          <w:sz w:val="22"/>
          <w:szCs w:val="22"/>
        </w:rPr>
        <w:t xml:space="preserve">sayılı </w:t>
      </w:r>
      <w:r w:rsidR="00E67545" w:rsidRPr="005957A3">
        <w:rPr>
          <w:sz w:val="22"/>
          <w:szCs w:val="22"/>
        </w:rPr>
        <w:t>Resmi Gazetede yayımlanarak 01.01.20</w:t>
      </w:r>
      <w:r w:rsidR="002E48D2" w:rsidRPr="005957A3">
        <w:rPr>
          <w:sz w:val="22"/>
          <w:szCs w:val="22"/>
        </w:rPr>
        <w:t>1</w:t>
      </w:r>
      <w:r w:rsidR="009D1331">
        <w:rPr>
          <w:sz w:val="22"/>
          <w:szCs w:val="22"/>
        </w:rPr>
        <w:t>2</w:t>
      </w:r>
      <w:r w:rsidR="00E67545" w:rsidRPr="005957A3">
        <w:rPr>
          <w:sz w:val="22"/>
          <w:szCs w:val="22"/>
        </w:rPr>
        <w:t xml:space="preserve"> tarihinden itibaren yürürlüğe girmiştir. </w:t>
      </w:r>
    </w:p>
    <w:p w:rsidR="00853CCC" w:rsidRPr="005957A3" w:rsidRDefault="00853CCC" w:rsidP="001B06F4">
      <w:pPr>
        <w:spacing w:line="312" w:lineRule="auto"/>
        <w:ind w:right="139" w:hanging="76"/>
        <w:jc w:val="both"/>
        <w:rPr>
          <w:sz w:val="22"/>
          <w:szCs w:val="22"/>
        </w:rPr>
      </w:pPr>
    </w:p>
    <w:p w:rsidR="00E67545" w:rsidRPr="005957A3" w:rsidRDefault="001B06F4" w:rsidP="001B06F4">
      <w:pPr>
        <w:spacing w:line="312" w:lineRule="auto"/>
        <w:ind w:right="139" w:hanging="76"/>
        <w:jc w:val="both"/>
        <w:rPr>
          <w:sz w:val="22"/>
          <w:szCs w:val="22"/>
        </w:rPr>
      </w:pPr>
      <w:r w:rsidRPr="005957A3">
        <w:rPr>
          <w:sz w:val="22"/>
          <w:szCs w:val="22"/>
        </w:rPr>
        <w:t xml:space="preserve"> </w:t>
      </w:r>
      <w:r w:rsidR="00853CCC" w:rsidRPr="005957A3">
        <w:rPr>
          <w:sz w:val="22"/>
          <w:szCs w:val="22"/>
        </w:rPr>
        <w:tab/>
      </w:r>
      <w:r w:rsidR="00853CCC" w:rsidRPr="005957A3">
        <w:rPr>
          <w:sz w:val="22"/>
          <w:szCs w:val="22"/>
        </w:rPr>
        <w:tab/>
      </w:r>
      <w:proofErr w:type="gramStart"/>
      <w:r w:rsidRPr="005957A3">
        <w:rPr>
          <w:sz w:val="22"/>
          <w:szCs w:val="22"/>
        </w:rPr>
        <w:t xml:space="preserve">Yükseköğretim Kurulu </w:t>
      </w:r>
      <w:r w:rsidR="00E67545" w:rsidRPr="005957A3">
        <w:rPr>
          <w:sz w:val="22"/>
          <w:szCs w:val="22"/>
        </w:rPr>
        <w:t>Başkanlığına Merkezi Yönetim Bütçe Kanunu ile 20</w:t>
      </w:r>
      <w:r w:rsidR="002E48D2" w:rsidRPr="005957A3">
        <w:rPr>
          <w:sz w:val="22"/>
          <w:szCs w:val="22"/>
        </w:rPr>
        <w:t>1</w:t>
      </w:r>
      <w:r w:rsidR="002F0129">
        <w:rPr>
          <w:sz w:val="22"/>
          <w:szCs w:val="22"/>
        </w:rPr>
        <w:t>2</w:t>
      </w:r>
      <w:r w:rsidR="00E67545" w:rsidRPr="005957A3">
        <w:rPr>
          <w:sz w:val="22"/>
          <w:szCs w:val="22"/>
        </w:rPr>
        <w:t xml:space="preserve"> yılında Personel Giderleri için </w:t>
      </w:r>
      <w:r w:rsidR="002E48D2" w:rsidRPr="005957A3">
        <w:rPr>
          <w:sz w:val="22"/>
          <w:szCs w:val="22"/>
        </w:rPr>
        <w:t>1</w:t>
      </w:r>
      <w:r w:rsidR="00C536E9">
        <w:rPr>
          <w:sz w:val="22"/>
          <w:szCs w:val="22"/>
        </w:rPr>
        <w:t>9</w:t>
      </w:r>
      <w:r w:rsidR="002E48D2" w:rsidRPr="005957A3">
        <w:rPr>
          <w:sz w:val="22"/>
          <w:szCs w:val="22"/>
        </w:rPr>
        <w:t>.</w:t>
      </w:r>
      <w:r w:rsidR="00C536E9">
        <w:rPr>
          <w:sz w:val="22"/>
          <w:szCs w:val="22"/>
        </w:rPr>
        <w:t>242</w:t>
      </w:r>
      <w:r w:rsidR="00E67545" w:rsidRPr="005957A3">
        <w:rPr>
          <w:sz w:val="22"/>
          <w:szCs w:val="22"/>
        </w:rPr>
        <w:t>.</w:t>
      </w:r>
      <w:r w:rsidRPr="005957A3">
        <w:rPr>
          <w:sz w:val="22"/>
          <w:szCs w:val="22"/>
        </w:rPr>
        <w:t>0</w:t>
      </w:r>
      <w:r w:rsidR="00961E9B" w:rsidRPr="005957A3">
        <w:rPr>
          <w:sz w:val="22"/>
          <w:szCs w:val="22"/>
        </w:rPr>
        <w:t>00</w:t>
      </w:r>
      <w:r w:rsidR="002E48D2" w:rsidRPr="005957A3">
        <w:rPr>
          <w:sz w:val="22"/>
          <w:szCs w:val="22"/>
        </w:rPr>
        <w:t xml:space="preserve">.-TL, </w:t>
      </w:r>
      <w:r w:rsidR="00E67545" w:rsidRPr="005957A3">
        <w:rPr>
          <w:sz w:val="22"/>
          <w:szCs w:val="22"/>
        </w:rPr>
        <w:t xml:space="preserve">Sosyal Güvenlik Kurumlarına Devlet Primi Giderleri için </w:t>
      </w:r>
      <w:r w:rsidR="00C536E9">
        <w:rPr>
          <w:sz w:val="22"/>
          <w:szCs w:val="22"/>
        </w:rPr>
        <w:t>3</w:t>
      </w:r>
      <w:r w:rsidR="002E48D2" w:rsidRPr="005957A3">
        <w:rPr>
          <w:sz w:val="22"/>
          <w:szCs w:val="22"/>
        </w:rPr>
        <w:t>.</w:t>
      </w:r>
      <w:r w:rsidR="00C536E9">
        <w:rPr>
          <w:sz w:val="22"/>
          <w:szCs w:val="22"/>
        </w:rPr>
        <w:t>262</w:t>
      </w:r>
      <w:r w:rsidRPr="005957A3">
        <w:rPr>
          <w:sz w:val="22"/>
          <w:szCs w:val="22"/>
        </w:rPr>
        <w:t>.000</w:t>
      </w:r>
      <w:r w:rsidR="002E48D2" w:rsidRPr="005957A3">
        <w:rPr>
          <w:sz w:val="22"/>
          <w:szCs w:val="22"/>
        </w:rPr>
        <w:t xml:space="preserve">.-TL, </w:t>
      </w:r>
      <w:r w:rsidR="00E67545" w:rsidRPr="005957A3">
        <w:rPr>
          <w:sz w:val="22"/>
          <w:szCs w:val="22"/>
        </w:rPr>
        <w:t xml:space="preserve">Mal ve Hizmet Alım Giderleri için </w:t>
      </w:r>
      <w:r w:rsidR="00C536E9">
        <w:rPr>
          <w:sz w:val="22"/>
          <w:szCs w:val="22"/>
        </w:rPr>
        <w:t>2</w:t>
      </w:r>
      <w:r w:rsidRPr="005957A3">
        <w:rPr>
          <w:sz w:val="22"/>
          <w:szCs w:val="22"/>
        </w:rPr>
        <w:t>.</w:t>
      </w:r>
      <w:r w:rsidR="00C536E9">
        <w:rPr>
          <w:sz w:val="22"/>
          <w:szCs w:val="22"/>
        </w:rPr>
        <w:t>257</w:t>
      </w:r>
      <w:r w:rsidRPr="005957A3">
        <w:rPr>
          <w:sz w:val="22"/>
          <w:szCs w:val="22"/>
        </w:rPr>
        <w:t>.000</w:t>
      </w:r>
      <w:r w:rsidR="002E48D2" w:rsidRPr="005957A3">
        <w:rPr>
          <w:sz w:val="22"/>
          <w:szCs w:val="22"/>
        </w:rPr>
        <w:t xml:space="preserve">.-TL, </w:t>
      </w:r>
      <w:r w:rsidR="00E67545" w:rsidRPr="005957A3">
        <w:rPr>
          <w:sz w:val="22"/>
          <w:szCs w:val="22"/>
        </w:rPr>
        <w:t xml:space="preserve">Cari Transferler için </w:t>
      </w:r>
      <w:r w:rsidR="002E48D2" w:rsidRPr="005957A3">
        <w:rPr>
          <w:sz w:val="22"/>
          <w:szCs w:val="22"/>
        </w:rPr>
        <w:t>1.</w:t>
      </w:r>
      <w:r w:rsidR="00C536E9">
        <w:rPr>
          <w:sz w:val="22"/>
          <w:szCs w:val="22"/>
        </w:rPr>
        <w:t>215</w:t>
      </w:r>
      <w:r w:rsidRPr="005957A3">
        <w:rPr>
          <w:sz w:val="22"/>
          <w:szCs w:val="22"/>
        </w:rPr>
        <w:t>.000</w:t>
      </w:r>
      <w:r w:rsidR="002E48D2" w:rsidRPr="005957A3">
        <w:rPr>
          <w:sz w:val="22"/>
          <w:szCs w:val="22"/>
        </w:rPr>
        <w:t>.-TL</w:t>
      </w:r>
      <w:r w:rsidR="00E67545" w:rsidRPr="005957A3">
        <w:rPr>
          <w:sz w:val="22"/>
          <w:szCs w:val="22"/>
        </w:rPr>
        <w:t xml:space="preserve"> ve Sermaye Giderleri için </w:t>
      </w:r>
      <w:r w:rsidRPr="005957A3">
        <w:rPr>
          <w:sz w:val="22"/>
          <w:szCs w:val="22"/>
        </w:rPr>
        <w:t>3.000</w:t>
      </w:r>
      <w:r w:rsidR="00E67545" w:rsidRPr="005957A3">
        <w:rPr>
          <w:sz w:val="22"/>
          <w:szCs w:val="22"/>
        </w:rPr>
        <w:t>.000</w:t>
      </w:r>
      <w:r w:rsidR="0025764F" w:rsidRPr="005957A3">
        <w:rPr>
          <w:sz w:val="22"/>
          <w:szCs w:val="22"/>
        </w:rPr>
        <w:t>.-TL</w:t>
      </w:r>
      <w:r w:rsidR="00E67545" w:rsidRPr="005957A3">
        <w:rPr>
          <w:sz w:val="22"/>
          <w:szCs w:val="22"/>
        </w:rPr>
        <w:t xml:space="preserve"> olmak üzere toplam </w:t>
      </w:r>
      <w:r w:rsidR="00C536E9">
        <w:rPr>
          <w:sz w:val="22"/>
          <w:szCs w:val="22"/>
        </w:rPr>
        <w:t>28</w:t>
      </w:r>
      <w:r w:rsidR="0025764F" w:rsidRPr="005957A3">
        <w:rPr>
          <w:sz w:val="22"/>
          <w:szCs w:val="22"/>
        </w:rPr>
        <w:t>.</w:t>
      </w:r>
      <w:r w:rsidR="00C536E9">
        <w:rPr>
          <w:sz w:val="22"/>
          <w:szCs w:val="22"/>
        </w:rPr>
        <w:t>976</w:t>
      </w:r>
      <w:r w:rsidRPr="005957A3">
        <w:rPr>
          <w:sz w:val="22"/>
          <w:szCs w:val="22"/>
        </w:rPr>
        <w:t>.000</w:t>
      </w:r>
      <w:r w:rsidR="0025764F" w:rsidRPr="005957A3">
        <w:rPr>
          <w:sz w:val="22"/>
          <w:szCs w:val="22"/>
        </w:rPr>
        <w:t>.-TL</w:t>
      </w:r>
      <w:r w:rsidR="00E67545" w:rsidRPr="005957A3">
        <w:rPr>
          <w:sz w:val="22"/>
          <w:szCs w:val="22"/>
        </w:rPr>
        <w:t xml:space="preserve"> ödenek tahsis edilmiştir.</w:t>
      </w:r>
      <w:proofErr w:type="gramEnd"/>
    </w:p>
    <w:p w:rsidR="00853CCC" w:rsidRPr="005957A3" w:rsidRDefault="00853CCC" w:rsidP="001B06F4">
      <w:pPr>
        <w:spacing w:line="312" w:lineRule="auto"/>
        <w:ind w:right="139" w:hanging="76"/>
        <w:jc w:val="both"/>
        <w:rPr>
          <w:sz w:val="22"/>
          <w:szCs w:val="22"/>
        </w:rPr>
      </w:pPr>
    </w:p>
    <w:p w:rsidR="00E67545" w:rsidRPr="005957A3" w:rsidRDefault="001B06F4" w:rsidP="001B06F4">
      <w:pPr>
        <w:pStyle w:val="GvdeMetni"/>
        <w:spacing w:line="312" w:lineRule="auto"/>
        <w:ind w:right="139" w:hanging="76"/>
        <w:jc w:val="both"/>
        <w:rPr>
          <w:sz w:val="22"/>
          <w:szCs w:val="22"/>
        </w:rPr>
      </w:pPr>
      <w:r w:rsidRPr="005957A3">
        <w:rPr>
          <w:sz w:val="22"/>
          <w:szCs w:val="22"/>
        </w:rPr>
        <w:t xml:space="preserve"> </w:t>
      </w:r>
      <w:r w:rsidR="00853CCC" w:rsidRPr="005957A3">
        <w:rPr>
          <w:sz w:val="22"/>
          <w:szCs w:val="22"/>
        </w:rPr>
        <w:tab/>
      </w:r>
      <w:r w:rsidR="00853CCC" w:rsidRPr="005957A3">
        <w:rPr>
          <w:sz w:val="22"/>
          <w:szCs w:val="22"/>
        </w:rPr>
        <w:tab/>
      </w:r>
      <w:r w:rsidRPr="005957A3">
        <w:rPr>
          <w:sz w:val="22"/>
          <w:szCs w:val="22"/>
        </w:rPr>
        <w:t xml:space="preserve">Yükseköğretim Kurulu </w:t>
      </w:r>
      <w:r w:rsidR="0025764F" w:rsidRPr="005957A3">
        <w:rPr>
          <w:sz w:val="22"/>
          <w:szCs w:val="22"/>
        </w:rPr>
        <w:t>Başkanlığının 201</w:t>
      </w:r>
      <w:r w:rsidR="00C536E9">
        <w:rPr>
          <w:sz w:val="22"/>
          <w:szCs w:val="22"/>
        </w:rPr>
        <w:t>1</w:t>
      </w:r>
      <w:r w:rsidR="00E67545" w:rsidRPr="005957A3">
        <w:rPr>
          <w:sz w:val="22"/>
          <w:szCs w:val="22"/>
        </w:rPr>
        <w:t xml:space="preserve"> ve 20</w:t>
      </w:r>
      <w:r w:rsidR="0025764F" w:rsidRPr="005957A3">
        <w:rPr>
          <w:sz w:val="22"/>
          <w:szCs w:val="22"/>
        </w:rPr>
        <w:t>1</w:t>
      </w:r>
      <w:r w:rsidR="00C536E9">
        <w:rPr>
          <w:sz w:val="22"/>
          <w:szCs w:val="22"/>
        </w:rPr>
        <w:t>2</w:t>
      </w:r>
      <w:r w:rsidR="00E67545" w:rsidRPr="005957A3">
        <w:rPr>
          <w:sz w:val="22"/>
          <w:szCs w:val="22"/>
        </w:rPr>
        <w:t xml:space="preserve"> yıllarına ilişkin başlangıç bütçe ödeneklerinin, analitik bütçe sistemine uygun gider türleri itibariyle dağılımı ve değişim oranları aşağıdaki grafikte </w:t>
      </w:r>
      <w:r w:rsidR="00823C01">
        <w:rPr>
          <w:sz w:val="22"/>
          <w:szCs w:val="22"/>
        </w:rPr>
        <w:t>gösterilmiştir</w:t>
      </w:r>
      <w:r w:rsidR="00E67545" w:rsidRPr="005957A3">
        <w:rPr>
          <w:sz w:val="22"/>
          <w:szCs w:val="22"/>
        </w:rPr>
        <w:t>.</w:t>
      </w:r>
    </w:p>
    <w:p w:rsidR="00E67545" w:rsidRPr="005957A3" w:rsidRDefault="00346A11" w:rsidP="00B30F78">
      <w:pPr>
        <w:rPr>
          <w:sz w:val="20"/>
          <w:szCs w:val="20"/>
        </w:rPr>
      </w:pPr>
      <w:r w:rsidRPr="005957A3">
        <w:rPr>
          <w:sz w:val="20"/>
          <w:szCs w:val="20"/>
        </w:rPr>
        <w:t xml:space="preserve"> </w:t>
      </w:r>
    </w:p>
    <w:p w:rsidR="00823C01" w:rsidRPr="00823C01" w:rsidRDefault="00760A80" w:rsidP="009B05E8">
      <w:pPr>
        <w:pStyle w:val="GvdeMetni"/>
        <w:spacing w:line="312" w:lineRule="auto"/>
        <w:jc w:val="both"/>
        <w:rPr>
          <w:color w:val="333399"/>
          <w:sz w:val="16"/>
          <w:szCs w:val="16"/>
        </w:rPr>
      </w:pPr>
      <w:r w:rsidRPr="005957A3">
        <w:rPr>
          <w:color w:val="333399"/>
          <w:sz w:val="16"/>
          <w:szCs w:val="16"/>
        </w:rPr>
        <w:t xml:space="preserve">         </w:t>
      </w:r>
      <w:r w:rsidR="00BB125E">
        <w:rPr>
          <w:noProof/>
          <w:color w:val="333399"/>
          <w:sz w:val="16"/>
          <w:szCs w:val="16"/>
        </w:rPr>
        <w:drawing>
          <wp:inline distT="0" distB="0" distL="0" distR="0">
            <wp:extent cx="5600700" cy="2905125"/>
            <wp:effectExtent l="19050" t="0" r="1905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3CCC" w:rsidRDefault="00853CCC" w:rsidP="00823C01">
      <w:pPr>
        <w:pStyle w:val="GvdeMetni"/>
        <w:spacing w:line="312" w:lineRule="auto"/>
        <w:ind w:firstLine="708"/>
        <w:jc w:val="center"/>
        <w:rPr>
          <w:b/>
          <w:sz w:val="22"/>
          <w:szCs w:val="22"/>
        </w:rPr>
      </w:pPr>
    </w:p>
    <w:p w:rsidR="00823C01" w:rsidRDefault="00823C01" w:rsidP="00823C01">
      <w:pPr>
        <w:pStyle w:val="GvdeMetni"/>
        <w:spacing w:line="312" w:lineRule="auto"/>
        <w:ind w:firstLine="708"/>
        <w:jc w:val="center"/>
        <w:rPr>
          <w:b/>
          <w:sz w:val="22"/>
          <w:szCs w:val="22"/>
        </w:rPr>
      </w:pPr>
    </w:p>
    <w:p w:rsidR="00823C01" w:rsidRPr="005957A3" w:rsidRDefault="00823C01" w:rsidP="00823C01">
      <w:pPr>
        <w:pStyle w:val="GvdeMetni"/>
        <w:spacing w:line="312" w:lineRule="auto"/>
        <w:ind w:firstLine="708"/>
        <w:jc w:val="center"/>
        <w:rPr>
          <w:sz w:val="20"/>
        </w:rPr>
      </w:pPr>
    </w:p>
    <w:p w:rsidR="00E67545" w:rsidRPr="005957A3" w:rsidRDefault="0025764F" w:rsidP="009B05E8">
      <w:pPr>
        <w:pStyle w:val="GvdeMetni"/>
        <w:spacing w:line="312" w:lineRule="auto"/>
        <w:ind w:firstLine="708"/>
        <w:jc w:val="both"/>
        <w:rPr>
          <w:b/>
          <w:sz w:val="22"/>
          <w:szCs w:val="22"/>
        </w:rPr>
      </w:pPr>
      <w:r w:rsidRPr="005957A3">
        <w:rPr>
          <w:sz w:val="22"/>
          <w:szCs w:val="22"/>
        </w:rPr>
        <w:t>201</w:t>
      </w:r>
      <w:r w:rsidR="001E7C37">
        <w:rPr>
          <w:sz w:val="22"/>
          <w:szCs w:val="22"/>
        </w:rPr>
        <w:t>1</w:t>
      </w:r>
      <w:r w:rsidR="00E67545" w:rsidRPr="005957A3">
        <w:rPr>
          <w:sz w:val="22"/>
          <w:szCs w:val="22"/>
        </w:rPr>
        <w:t xml:space="preserve"> ve 20</w:t>
      </w:r>
      <w:r w:rsidRPr="005957A3">
        <w:rPr>
          <w:sz w:val="22"/>
          <w:szCs w:val="22"/>
        </w:rPr>
        <w:t>1</w:t>
      </w:r>
      <w:r w:rsidR="001E7C37">
        <w:rPr>
          <w:sz w:val="22"/>
          <w:szCs w:val="22"/>
        </w:rPr>
        <w:t>2</w:t>
      </w:r>
      <w:r w:rsidR="00E67545" w:rsidRPr="005957A3">
        <w:rPr>
          <w:sz w:val="22"/>
          <w:szCs w:val="22"/>
        </w:rPr>
        <w:t xml:space="preserve"> Yılları Merkezi Yönetim Bütçe Kanunlarıyla </w:t>
      </w:r>
      <w:r w:rsidR="004C72E6" w:rsidRPr="005957A3">
        <w:rPr>
          <w:sz w:val="22"/>
          <w:szCs w:val="22"/>
        </w:rPr>
        <w:t xml:space="preserve">Yükseköğretim Kurulu </w:t>
      </w:r>
      <w:r w:rsidR="00E67545" w:rsidRPr="005957A3">
        <w:rPr>
          <w:sz w:val="22"/>
          <w:szCs w:val="22"/>
        </w:rPr>
        <w:t xml:space="preserve">Başkanlığına tahsis edilen ödeneklerin Ocak-Haziran dönemi sonu itibariyle fiili gerçekleşmelerine ilişkin ayrıntılı veriler ekli tabloda belirtilmiştir. </w:t>
      </w:r>
      <w:r w:rsidR="00E67545" w:rsidRPr="005957A3">
        <w:rPr>
          <w:b/>
          <w:sz w:val="22"/>
          <w:szCs w:val="22"/>
        </w:rPr>
        <w:t xml:space="preserve">(EK:1) </w:t>
      </w:r>
    </w:p>
    <w:p w:rsidR="00853CCC" w:rsidRPr="005957A3" w:rsidRDefault="00853CCC" w:rsidP="00E67545">
      <w:pPr>
        <w:pStyle w:val="GvdeMetni"/>
        <w:spacing w:line="312" w:lineRule="auto"/>
        <w:ind w:firstLine="709"/>
        <w:jc w:val="both"/>
        <w:rPr>
          <w:sz w:val="22"/>
          <w:szCs w:val="22"/>
        </w:rPr>
      </w:pPr>
    </w:p>
    <w:p w:rsidR="00E67545" w:rsidRPr="005957A3" w:rsidRDefault="00E67545" w:rsidP="00E67545">
      <w:pPr>
        <w:pStyle w:val="GvdeMetni"/>
        <w:spacing w:line="312" w:lineRule="auto"/>
        <w:ind w:firstLine="709"/>
        <w:jc w:val="both"/>
        <w:rPr>
          <w:sz w:val="22"/>
          <w:szCs w:val="22"/>
        </w:rPr>
      </w:pPr>
      <w:r w:rsidRPr="005957A3">
        <w:rPr>
          <w:sz w:val="22"/>
          <w:szCs w:val="22"/>
        </w:rPr>
        <w:t>Söz</w:t>
      </w:r>
      <w:r w:rsidR="0025764F" w:rsidRPr="005957A3">
        <w:rPr>
          <w:sz w:val="22"/>
          <w:szCs w:val="22"/>
        </w:rPr>
        <w:t xml:space="preserve"> </w:t>
      </w:r>
      <w:r w:rsidRPr="005957A3">
        <w:rPr>
          <w:sz w:val="22"/>
          <w:szCs w:val="22"/>
        </w:rPr>
        <w:t>konusu tabloda</w:t>
      </w:r>
      <w:r w:rsidRPr="005957A3">
        <w:rPr>
          <w:b/>
          <w:sz w:val="22"/>
          <w:szCs w:val="22"/>
        </w:rPr>
        <w:t xml:space="preserve"> </w:t>
      </w:r>
      <w:r w:rsidR="00734C32" w:rsidRPr="005957A3">
        <w:rPr>
          <w:sz w:val="22"/>
          <w:szCs w:val="22"/>
        </w:rPr>
        <w:t>20</w:t>
      </w:r>
      <w:r w:rsidR="0025764F" w:rsidRPr="005957A3">
        <w:rPr>
          <w:sz w:val="22"/>
          <w:szCs w:val="22"/>
        </w:rPr>
        <w:t>1</w:t>
      </w:r>
      <w:r w:rsidR="001E7C37">
        <w:rPr>
          <w:sz w:val="22"/>
          <w:szCs w:val="22"/>
        </w:rPr>
        <w:t>2</w:t>
      </w:r>
      <w:r w:rsidR="00760A80" w:rsidRPr="005957A3">
        <w:rPr>
          <w:sz w:val="22"/>
          <w:szCs w:val="22"/>
        </w:rPr>
        <w:t xml:space="preserve"> yılı Ocak-</w:t>
      </w:r>
      <w:r w:rsidRPr="005957A3">
        <w:rPr>
          <w:sz w:val="22"/>
          <w:szCs w:val="22"/>
        </w:rPr>
        <w:t>H</w:t>
      </w:r>
      <w:r w:rsidR="0025764F" w:rsidRPr="005957A3">
        <w:rPr>
          <w:sz w:val="22"/>
          <w:szCs w:val="22"/>
        </w:rPr>
        <w:t>aziran dönemi harcamasının, 201</w:t>
      </w:r>
      <w:r w:rsidR="001E7C37">
        <w:rPr>
          <w:sz w:val="22"/>
          <w:szCs w:val="22"/>
        </w:rPr>
        <w:t>1</w:t>
      </w:r>
      <w:r w:rsidR="0025764F" w:rsidRPr="005957A3">
        <w:rPr>
          <w:sz w:val="22"/>
          <w:szCs w:val="22"/>
        </w:rPr>
        <w:t xml:space="preserve"> </w:t>
      </w:r>
      <w:r w:rsidRPr="005957A3">
        <w:rPr>
          <w:sz w:val="22"/>
          <w:szCs w:val="22"/>
        </w:rPr>
        <w:t>yılına oranla %</w:t>
      </w:r>
      <w:r w:rsidR="00677251">
        <w:rPr>
          <w:sz w:val="22"/>
          <w:szCs w:val="22"/>
        </w:rPr>
        <w:t>577,33</w:t>
      </w:r>
      <w:r w:rsidRPr="005957A3">
        <w:rPr>
          <w:sz w:val="22"/>
          <w:szCs w:val="22"/>
        </w:rPr>
        <w:t xml:space="preserve"> </w:t>
      </w:r>
      <w:proofErr w:type="gramStart"/>
      <w:r w:rsidRPr="005957A3">
        <w:rPr>
          <w:sz w:val="22"/>
          <w:szCs w:val="22"/>
        </w:rPr>
        <w:t>artarak</w:t>
      </w:r>
      <w:r w:rsidR="00435867">
        <w:rPr>
          <w:sz w:val="22"/>
          <w:szCs w:val="22"/>
        </w:rPr>
        <w:t xml:space="preserve"> </w:t>
      </w:r>
      <w:r w:rsidRPr="005957A3">
        <w:rPr>
          <w:sz w:val="22"/>
          <w:szCs w:val="22"/>
        </w:rPr>
        <w:t xml:space="preserve"> </w:t>
      </w:r>
      <w:r w:rsidR="00204EF5" w:rsidRPr="00435867">
        <w:rPr>
          <w:sz w:val="22"/>
          <w:szCs w:val="22"/>
        </w:rPr>
        <w:t>312</w:t>
      </w:r>
      <w:proofErr w:type="gramEnd"/>
      <w:r w:rsidR="00204EF5" w:rsidRPr="00435867">
        <w:rPr>
          <w:sz w:val="22"/>
          <w:szCs w:val="22"/>
        </w:rPr>
        <w:t>.793.1</w:t>
      </w:r>
      <w:r w:rsidR="00435867" w:rsidRPr="00435867">
        <w:rPr>
          <w:sz w:val="22"/>
          <w:szCs w:val="22"/>
        </w:rPr>
        <w:t>7</w:t>
      </w:r>
      <w:r w:rsidR="00204EF5" w:rsidRPr="00435867">
        <w:rPr>
          <w:sz w:val="22"/>
          <w:szCs w:val="22"/>
        </w:rPr>
        <w:t>6</w:t>
      </w:r>
      <w:r w:rsidR="00760A80" w:rsidRPr="00435867">
        <w:rPr>
          <w:sz w:val="22"/>
          <w:szCs w:val="22"/>
        </w:rPr>
        <w:t>.-TL’</w:t>
      </w:r>
      <w:r w:rsidR="00760A80" w:rsidRPr="005957A3">
        <w:rPr>
          <w:sz w:val="22"/>
          <w:szCs w:val="22"/>
        </w:rPr>
        <w:t xml:space="preserve"> </w:t>
      </w:r>
      <w:r w:rsidRPr="005957A3">
        <w:rPr>
          <w:sz w:val="22"/>
          <w:szCs w:val="22"/>
        </w:rPr>
        <w:t xml:space="preserve">ye ulaştığı görülmektedir. </w:t>
      </w:r>
      <w:r w:rsidR="00204EF5">
        <w:rPr>
          <w:sz w:val="22"/>
          <w:szCs w:val="22"/>
        </w:rPr>
        <w:t>(</w:t>
      </w:r>
      <w:r w:rsidR="00204EF5" w:rsidRPr="00B222EA">
        <w:rPr>
          <w:sz w:val="22"/>
          <w:szCs w:val="22"/>
        </w:rPr>
        <w:t>253.612.868</w:t>
      </w:r>
      <w:r w:rsidR="00204EF5">
        <w:rPr>
          <w:sz w:val="22"/>
          <w:szCs w:val="22"/>
        </w:rPr>
        <w:t xml:space="preserve">.- </w:t>
      </w:r>
      <w:proofErr w:type="spellStart"/>
      <w:r w:rsidR="00204EF5">
        <w:rPr>
          <w:sz w:val="22"/>
          <w:szCs w:val="22"/>
        </w:rPr>
        <w:t>TL’lık</w:t>
      </w:r>
      <w:proofErr w:type="spellEnd"/>
      <w:r w:rsidR="00204EF5">
        <w:rPr>
          <w:sz w:val="22"/>
          <w:szCs w:val="22"/>
        </w:rPr>
        <w:t xml:space="preserve"> tutar </w:t>
      </w:r>
      <w:proofErr w:type="gramStart"/>
      <w:r w:rsidR="00435867">
        <w:rPr>
          <w:sz w:val="22"/>
          <w:szCs w:val="22"/>
        </w:rPr>
        <w:t>05.8</w:t>
      </w:r>
      <w:proofErr w:type="gramEnd"/>
      <w:r w:rsidR="00435867">
        <w:rPr>
          <w:sz w:val="22"/>
          <w:szCs w:val="22"/>
        </w:rPr>
        <w:t xml:space="preserve"> Gelirden Ayrılan Paylar kaleminden yapılan </w:t>
      </w:r>
      <w:r w:rsidR="00204EF5">
        <w:rPr>
          <w:sz w:val="22"/>
          <w:szCs w:val="22"/>
        </w:rPr>
        <w:t>Transfer niteliğinde harcama</w:t>
      </w:r>
      <w:r w:rsidR="00435867">
        <w:rPr>
          <w:sz w:val="22"/>
          <w:szCs w:val="22"/>
        </w:rPr>
        <w:t>lardır.</w:t>
      </w:r>
      <w:r w:rsidR="00204EF5">
        <w:rPr>
          <w:sz w:val="22"/>
          <w:szCs w:val="22"/>
        </w:rPr>
        <w:t>)</w:t>
      </w:r>
    </w:p>
    <w:p w:rsidR="00853CCC" w:rsidRPr="005957A3" w:rsidRDefault="00853CCC" w:rsidP="00E67545">
      <w:pPr>
        <w:pStyle w:val="GvdeMetni"/>
        <w:spacing w:line="312" w:lineRule="auto"/>
        <w:ind w:firstLine="709"/>
        <w:jc w:val="both"/>
        <w:rPr>
          <w:sz w:val="22"/>
          <w:szCs w:val="22"/>
        </w:rPr>
      </w:pPr>
    </w:p>
    <w:p w:rsidR="00E67545" w:rsidRDefault="00E67545" w:rsidP="00E67545">
      <w:pPr>
        <w:pStyle w:val="GvdeMetni"/>
        <w:spacing w:line="312" w:lineRule="auto"/>
        <w:ind w:firstLine="709"/>
        <w:jc w:val="both"/>
        <w:rPr>
          <w:sz w:val="22"/>
          <w:szCs w:val="22"/>
        </w:rPr>
      </w:pPr>
      <w:r w:rsidRPr="005957A3">
        <w:rPr>
          <w:sz w:val="22"/>
          <w:szCs w:val="22"/>
        </w:rPr>
        <w:t>20</w:t>
      </w:r>
      <w:r w:rsidR="00760A80" w:rsidRPr="005957A3">
        <w:rPr>
          <w:sz w:val="22"/>
          <w:szCs w:val="22"/>
        </w:rPr>
        <w:t>1</w:t>
      </w:r>
      <w:r w:rsidR="005D47DD">
        <w:rPr>
          <w:sz w:val="22"/>
          <w:szCs w:val="22"/>
        </w:rPr>
        <w:t xml:space="preserve">2 </w:t>
      </w:r>
      <w:r w:rsidRPr="005957A3">
        <w:rPr>
          <w:sz w:val="22"/>
          <w:szCs w:val="22"/>
        </w:rPr>
        <w:t>yılı ilk altı aylık bütçe uygulama sonuçları aşağıda</w:t>
      </w:r>
      <w:r w:rsidR="00760A80" w:rsidRPr="005957A3">
        <w:rPr>
          <w:sz w:val="22"/>
          <w:szCs w:val="22"/>
        </w:rPr>
        <w:t xml:space="preserve"> belirtilmiştir:</w:t>
      </w:r>
    </w:p>
    <w:p w:rsidR="00435867" w:rsidRPr="005957A3" w:rsidRDefault="00435867" w:rsidP="00E67545">
      <w:pPr>
        <w:pStyle w:val="GvdeMetni"/>
        <w:spacing w:line="312" w:lineRule="auto"/>
        <w:ind w:firstLine="709"/>
        <w:jc w:val="both"/>
        <w:rPr>
          <w:sz w:val="22"/>
          <w:szCs w:val="22"/>
        </w:rPr>
      </w:pPr>
    </w:p>
    <w:p w:rsidR="00E67545" w:rsidRPr="005957A3" w:rsidRDefault="00760A80" w:rsidP="00E67545">
      <w:pPr>
        <w:pStyle w:val="GvdeMetni"/>
        <w:spacing w:line="312" w:lineRule="auto"/>
        <w:ind w:firstLine="709"/>
        <w:jc w:val="both"/>
        <w:rPr>
          <w:sz w:val="22"/>
          <w:szCs w:val="22"/>
        </w:rPr>
      </w:pPr>
      <w:r w:rsidRPr="005957A3">
        <w:rPr>
          <w:sz w:val="22"/>
          <w:szCs w:val="22"/>
        </w:rPr>
        <w:t>Personel giderleri, 201</w:t>
      </w:r>
      <w:r w:rsidR="005D47DD">
        <w:rPr>
          <w:sz w:val="22"/>
          <w:szCs w:val="22"/>
        </w:rPr>
        <w:t>1</w:t>
      </w:r>
      <w:r w:rsidR="00E67545" w:rsidRPr="005957A3">
        <w:rPr>
          <w:sz w:val="22"/>
          <w:szCs w:val="22"/>
        </w:rPr>
        <w:t xml:space="preserve"> yılının ilk altı ayının gerçekleşme rakamlarına göre %</w:t>
      </w:r>
      <w:r w:rsidR="00677251">
        <w:rPr>
          <w:sz w:val="22"/>
          <w:szCs w:val="22"/>
        </w:rPr>
        <w:t xml:space="preserve">32,59 artışla </w:t>
      </w:r>
      <w:r w:rsidR="001D0E72">
        <w:rPr>
          <w:sz w:val="22"/>
          <w:szCs w:val="22"/>
        </w:rPr>
        <w:t>10.499.316</w:t>
      </w:r>
      <w:r w:rsidRPr="005957A3">
        <w:rPr>
          <w:sz w:val="22"/>
          <w:szCs w:val="22"/>
        </w:rPr>
        <w:t xml:space="preserve">.-TL </w:t>
      </w:r>
      <w:r w:rsidR="00E67545" w:rsidRPr="005957A3">
        <w:rPr>
          <w:sz w:val="22"/>
          <w:szCs w:val="22"/>
        </w:rPr>
        <w:t>ve Sosyal Güvenlik Kurumlarına Devlet Primi Giderleri de</w:t>
      </w:r>
      <w:r w:rsidR="00677251">
        <w:rPr>
          <w:sz w:val="22"/>
          <w:szCs w:val="22"/>
        </w:rPr>
        <w:t xml:space="preserve"> </w:t>
      </w:r>
      <w:r w:rsidR="00E67545" w:rsidRPr="005957A3">
        <w:rPr>
          <w:sz w:val="22"/>
          <w:szCs w:val="22"/>
        </w:rPr>
        <w:t xml:space="preserve"> %</w:t>
      </w:r>
      <w:r w:rsidR="00677251">
        <w:rPr>
          <w:sz w:val="22"/>
          <w:szCs w:val="22"/>
        </w:rPr>
        <w:t>23,25</w:t>
      </w:r>
      <w:r w:rsidR="00E67545" w:rsidRPr="005957A3">
        <w:rPr>
          <w:sz w:val="22"/>
          <w:szCs w:val="22"/>
        </w:rPr>
        <w:t xml:space="preserve"> artışla </w:t>
      </w:r>
      <w:r w:rsidRPr="005957A3">
        <w:rPr>
          <w:sz w:val="22"/>
          <w:szCs w:val="22"/>
        </w:rPr>
        <w:t>1.</w:t>
      </w:r>
      <w:r w:rsidR="00677251">
        <w:rPr>
          <w:sz w:val="22"/>
          <w:szCs w:val="22"/>
        </w:rPr>
        <w:t>754.881</w:t>
      </w:r>
      <w:r w:rsidRPr="005957A3">
        <w:rPr>
          <w:sz w:val="22"/>
          <w:szCs w:val="22"/>
        </w:rPr>
        <w:t xml:space="preserve">.-TL </w:t>
      </w:r>
      <w:r w:rsidR="00E67545" w:rsidRPr="005957A3">
        <w:rPr>
          <w:sz w:val="22"/>
          <w:szCs w:val="22"/>
        </w:rPr>
        <w:t xml:space="preserve">olarak gerçekleşmiştir. </w:t>
      </w:r>
    </w:p>
    <w:p w:rsidR="00853CCC" w:rsidRPr="005957A3" w:rsidRDefault="00853CCC" w:rsidP="00E67545">
      <w:pPr>
        <w:pStyle w:val="GvdeMetni"/>
        <w:spacing w:line="312" w:lineRule="auto"/>
        <w:ind w:firstLine="709"/>
        <w:jc w:val="both"/>
        <w:rPr>
          <w:sz w:val="22"/>
          <w:szCs w:val="22"/>
        </w:rPr>
      </w:pPr>
    </w:p>
    <w:p w:rsidR="00E67545" w:rsidRPr="005957A3" w:rsidRDefault="00E67545" w:rsidP="00E67545">
      <w:pPr>
        <w:pStyle w:val="GvdeMetni"/>
        <w:spacing w:line="312" w:lineRule="auto"/>
        <w:ind w:firstLine="709"/>
        <w:jc w:val="both"/>
        <w:rPr>
          <w:sz w:val="22"/>
          <w:szCs w:val="22"/>
        </w:rPr>
      </w:pPr>
      <w:r w:rsidRPr="005957A3">
        <w:rPr>
          <w:sz w:val="22"/>
          <w:szCs w:val="22"/>
        </w:rPr>
        <w:t xml:space="preserve">Mal ve Hizmet Alım Giderleri bir önceki yılın </w:t>
      </w:r>
      <w:r w:rsidR="00C6216C" w:rsidRPr="005957A3">
        <w:rPr>
          <w:sz w:val="22"/>
          <w:szCs w:val="22"/>
        </w:rPr>
        <w:t>aynı dönemine göre %</w:t>
      </w:r>
      <w:r w:rsidR="00677251">
        <w:rPr>
          <w:sz w:val="22"/>
          <w:szCs w:val="22"/>
        </w:rPr>
        <w:t>52,</w:t>
      </w:r>
      <w:proofErr w:type="gramStart"/>
      <w:r w:rsidR="00677251">
        <w:rPr>
          <w:sz w:val="22"/>
          <w:szCs w:val="22"/>
        </w:rPr>
        <w:t xml:space="preserve">58  </w:t>
      </w:r>
      <w:r w:rsidR="00625B8F" w:rsidRPr="005957A3">
        <w:rPr>
          <w:sz w:val="22"/>
          <w:szCs w:val="22"/>
        </w:rPr>
        <w:t>artarak</w:t>
      </w:r>
      <w:proofErr w:type="gramEnd"/>
      <w:r w:rsidRPr="005957A3">
        <w:rPr>
          <w:sz w:val="22"/>
          <w:szCs w:val="22"/>
        </w:rPr>
        <w:t xml:space="preserve"> </w:t>
      </w:r>
      <w:r w:rsidR="00677251">
        <w:rPr>
          <w:sz w:val="22"/>
          <w:szCs w:val="22"/>
        </w:rPr>
        <w:t>3.483.815</w:t>
      </w:r>
      <w:r w:rsidR="00760A80" w:rsidRPr="005957A3">
        <w:rPr>
          <w:sz w:val="22"/>
          <w:szCs w:val="22"/>
        </w:rPr>
        <w:t xml:space="preserve">.-TL </w:t>
      </w:r>
      <w:r w:rsidRPr="005957A3">
        <w:rPr>
          <w:sz w:val="22"/>
          <w:szCs w:val="22"/>
        </w:rPr>
        <w:t>olmuş</w:t>
      </w:r>
      <w:r w:rsidR="00625B8F" w:rsidRPr="005957A3">
        <w:rPr>
          <w:sz w:val="22"/>
          <w:szCs w:val="22"/>
        </w:rPr>
        <w:t xml:space="preserve">, Cari Transferler </w:t>
      </w:r>
      <w:r w:rsidRPr="005957A3">
        <w:rPr>
          <w:sz w:val="22"/>
          <w:szCs w:val="22"/>
        </w:rPr>
        <w:t>%</w:t>
      </w:r>
      <w:r w:rsidR="00677251">
        <w:rPr>
          <w:sz w:val="22"/>
          <w:szCs w:val="22"/>
        </w:rPr>
        <w:t>839,14</w:t>
      </w:r>
      <w:r w:rsidRPr="005957A3">
        <w:rPr>
          <w:sz w:val="22"/>
          <w:szCs w:val="22"/>
        </w:rPr>
        <w:t xml:space="preserve"> oranında artarak </w:t>
      </w:r>
      <w:r w:rsidR="00677251">
        <w:rPr>
          <w:sz w:val="22"/>
          <w:szCs w:val="22"/>
        </w:rPr>
        <w:t>296.947.608</w:t>
      </w:r>
      <w:r w:rsidR="00760A80" w:rsidRPr="005957A3">
        <w:rPr>
          <w:sz w:val="22"/>
          <w:szCs w:val="22"/>
        </w:rPr>
        <w:t>.-TL</w:t>
      </w:r>
      <w:r w:rsidR="007E51D1" w:rsidRPr="005957A3">
        <w:rPr>
          <w:sz w:val="22"/>
          <w:szCs w:val="22"/>
        </w:rPr>
        <w:t>’ye ulaşmıştır.</w:t>
      </w:r>
      <w:r w:rsidRPr="005957A3">
        <w:rPr>
          <w:sz w:val="22"/>
          <w:szCs w:val="22"/>
        </w:rPr>
        <w:t xml:space="preserve"> Sermaye Giderleri ise %</w:t>
      </w:r>
      <w:r w:rsidR="00677251">
        <w:rPr>
          <w:sz w:val="22"/>
          <w:szCs w:val="22"/>
        </w:rPr>
        <w:t>96,34</w:t>
      </w:r>
      <w:r w:rsidRPr="005957A3">
        <w:rPr>
          <w:sz w:val="22"/>
          <w:szCs w:val="22"/>
        </w:rPr>
        <w:t xml:space="preserve"> oranında </w:t>
      </w:r>
      <w:r w:rsidR="00760A80" w:rsidRPr="005957A3">
        <w:rPr>
          <w:sz w:val="22"/>
          <w:szCs w:val="22"/>
        </w:rPr>
        <w:t>azalarak</w:t>
      </w:r>
      <w:r w:rsidRPr="005957A3">
        <w:rPr>
          <w:sz w:val="22"/>
          <w:szCs w:val="22"/>
        </w:rPr>
        <w:t xml:space="preserve"> </w:t>
      </w:r>
      <w:r w:rsidR="00677251">
        <w:rPr>
          <w:sz w:val="22"/>
          <w:szCs w:val="22"/>
        </w:rPr>
        <w:t>107.557</w:t>
      </w:r>
      <w:r w:rsidR="00760A80" w:rsidRPr="005957A3">
        <w:rPr>
          <w:sz w:val="22"/>
          <w:szCs w:val="22"/>
        </w:rPr>
        <w:t>.-</w:t>
      </w:r>
      <w:r w:rsidR="004C72E6" w:rsidRPr="005957A3">
        <w:rPr>
          <w:sz w:val="22"/>
          <w:szCs w:val="22"/>
        </w:rPr>
        <w:t>TL</w:t>
      </w:r>
      <w:r w:rsidRPr="005957A3">
        <w:rPr>
          <w:sz w:val="22"/>
          <w:szCs w:val="22"/>
        </w:rPr>
        <w:t xml:space="preserve"> </w:t>
      </w:r>
      <w:r w:rsidR="007E51D1" w:rsidRPr="005957A3">
        <w:rPr>
          <w:sz w:val="22"/>
          <w:szCs w:val="22"/>
        </w:rPr>
        <w:t>olarak gerçekleşmiştir.</w:t>
      </w:r>
      <w:r w:rsidRPr="005957A3">
        <w:rPr>
          <w:sz w:val="22"/>
          <w:szCs w:val="22"/>
        </w:rPr>
        <w:t xml:space="preserve"> </w:t>
      </w:r>
    </w:p>
    <w:p w:rsidR="00853CCC" w:rsidRPr="005957A3" w:rsidRDefault="00853CCC" w:rsidP="00E67545">
      <w:pPr>
        <w:pStyle w:val="GvdeMetni"/>
        <w:spacing w:line="312" w:lineRule="auto"/>
        <w:ind w:firstLine="709"/>
        <w:jc w:val="both"/>
        <w:rPr>
          <w:sz w:val="22"/>
          <w:szCs w:val="22"/>
        </w:rPr>
      </w:pPr>
    </w:p>
    <w:p w:rsidR="004B1F4E" w:rsidRPr="005957A3" w:rsidRDefault="004C72E6" w:rsidP="004B1F4E">
      <w:pPr>
        <w:pStyle w:val="GvdeMetni"/>
        <w:spacing w:line="312" w:lineRule="auto"/>
        <w:ind w:firstLine="709"/>
        <w:jc w:val="both"/>
        <w:rPr>
          <w:sz w:val="22"/>
          <w:szCs w:val="22"/>
        </w:rPr>
      </w:pPr>
      <w:r w:rsidRPr="005957A3">
        <w:rPr>
          <w:sz w:val="22"/>
          <w:szCs w:val="22"/>
        </w:rPr>
        <w:t xml:space="preserve">Yükseköğretim Kurulu </w:t>
      </w:r>
      <w:r w:rsidR="00760A80" w:rsidRPr="005957A3">
        <w:rPr>
          <w:sz w:val="22"/>
          <w:szCs w:val="22"/>
        </w:rPr>
        <w:t>Başkanlığına 201</w:t>
      </w:r>
      <w:r w:rsidR="005D47DD">
        <w:rPr>
          <w:sz w:val="22"/>
          <w:szCs w:val="22"/>
        </w:rPr>
        <w:t>1</w:t>
      </w:r>
      <w:r w:rsidR="00760A80" w:rsidRPr="005957A3">
        <w:rPr>
          <w:sz w:val="22"/>
          <w:szCs w:val="22"/>
        </w:rPr>
        <w:t xml:space="preserve"> ve 201</w:t>
      </w:r>
      <w:r w:rsidR="005D47DD">
        <w:rPr>
          <w:sz w:val="22"/>
          <w:szCs w:val="22"/>
        </w:rPr>
        <w:t>2</w:t>
      </w:r>
      <w:r w:rsidR="004B1F4E" w:rsidRPr="005957A3">
        <w:rPr>
          <w:sz w:val="22"/>
          <w:szCs w:val="22"/>
        </w:rPr>
        <w:t xml:space="preserve"> yıllarında tahsis edilen başlangıç ödenekleri ve bu ödeneklerden ilk altışar aylık dönemlerde gerçekleşen harcama tutarları ve oranları aşağıdaki grafiklerde gösterilmiştir.</w:t>
      </w:r>
    </w:p>
    <w:p w:rsidR="00F83E9D" w:rsidRPr="005957A3" w:rsidRDefault="00F83E9D" w:rsidP="0033737C">
      <w:pPr>
        <w:pStyle w:val="GvdeMetni"/>
        <w:spacing w:line="312" w:lineRule="auto"/>
        <w:jc w:val="both"/>
        <w:rPr>
          <w:b/>
          <w:bCs/>
          <w:sz w:val="20"/>
          <w:u w:val="single"/>
        </w:rPr>
      </w:pPr>
    </w:p>
    <w:p w:rsidR="007E51D1" w:rsidRDefault="00355133" w:rsidP="00355133">
      <w:pPr>
        <w:pStyle w:val="GvdeMetni"/>
        <w:spacing w:before="120" w:after="120" w:line="312" w:lineRule="auto"/>
        <w:ind w:left="284" w:right="-108" w:hanging="284"/>
        <w:jc w:val="both"/>
        <w:rPr>
          <w:color w:val="333399"/>
          <w:sz w:val="18"/>
          <w:szCs w:val="18"/>
        </w:rPr>
      </w:pPr>
      <w:r w:rsidRPr="005957A3">
        <w:rPr>
          <w:color w:val="333399"/>
          <w:sz w:val="18"/>
          <w:szCs w:val="18"/>
        </w:rPr>
        <w:t xml:space="preserve">     </w:t>
      </w:r>
      <w:r w:rsidR="00BB125E">
        <w:rPr>
          <w:noProof/>
          <w:color w:val="333399"/>
          <w:sz w:val="18"/>
          <w:szCs w:val="18"/>
        </w:rPr>
        <w:drawing>
          <wp:inline distT="0" distB="0" distL="0" distR="0">
            <wp:extent cx="5553075" cy="4848225"/>
            <wp:effectExtent l="19050" t="0" r="9525" b="0"/>
            <wp:docPr id="2" name="Nesnesi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737C" w:rsidRPr="005957A3" w:rsidRDefault="0033737C" w:rsidP="00355133">
      <w:pPr>
        <w:pStyle w:val="GvdeMetni"/>
        <w:spacing w:before="120" w:after="120" w:line="312" w:lineRule="auto"/>
        <w:ind w:left="284" w:right="-108" w:hanging="284"/>
        <w:jc w:val="both"/>
        <w:rPr>
          <w:color w:val="333399"/>
          <w:sz w:val="20"/>
        </w:rPr>
      </w:pPr>
    </w:p>
    <w:p w:rsidR="00562D90" w:rsidRPr="005957A3" w:rsidRDefault="00355133" w:rsidP="00562D90">
      <w:pPr>
        <w:pStyle w:val="GvdeMetni"/>
        <w:spacing w:before="120" w:after="120" w:line="312" w:lineRule="auto"/>
        <w:ind w:right="-288"/>
        <w:jc w:val="both"/>
        <w:rPr>
          <w:color w:val="333399"/>
          <w:sz w:val="20"/>
        </w:rPr>
      </w:pPr>
      <w:r w:rsidRPr="005957A3">
        <w:rPr>
          <w:color w:val="333399"/>
          <w:sz w:val="20"/>
        </w:rPr>
        <w:lastRenderedPageBreak/>
        <w:t xml:space="preserve">     </w:t>
      </w:r>
      <w:r w:rsidR="00BB125E">
        <w:rPr>
          <w:noProof/>
          <w:color w:val="333399"/>
          <w:sz w:val="20"/>
        </w:rPr>
        <w:drawing>
          <wp:inline distT="0" distB="0" distL="0" distR="0">
            <wp:extent cx="6038850" cy="4124325"/>
            <wp:effectExtent l="19050" t="0" r="19050" b="0"/>
            <wp:docPr id="3" name="Nesnesi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2D90" w:rsidRPr="005957A3" w:rsidRDefault="00562D90" w:rsidP="00562D90">
      <w:pPr>
        <w:pStyle w:val="GvdeMetni"/>
        <w:spacing w:before="120" w:after="120" w:line="312" w:lineRule="auto"/>
        <w:ind w:right="-288" w:firstLine="708"/>
        <w:jc w:val="both"/>
        <w:rPr>
          <w:color w:val="333399"/>
          <w:sz w:val="20"/>
        </w:rPr>
      </w:pPr>
    </w:p>
    <w:p w:rsidR="00E67545" w:rsidRPr="005957A3" w:rsidRDefault="00E67545" w:rsidP="00D379CD">
      <w:pPr>
        <w:pStyle w:val="GvdeMetni"/>
        <w:spacing w:before="120" w:after="120" w:line="312" w:lineRule="auto"/>
        <w:ind w:right="139" w:firstLine="708"/>
        <w:jc w:val="both"/>
        <w:rPr>
          <w:sz w:val="22"/>
          <w:szCs w:val="22"/>
        </w:rPr>
      </w:pPr>
      <w:r w:rsidRPr="005957A3">
        <w:rPr>
          <w:sz w:val="22"/>
          <w:szCs w:val="22"/>
        </w:rPr>
        <w:t>Başkanlığımız harcama birimlerinin, 20</w:t>
      </w:r>
      <w:r w:rsidR="00355133" w:rsidRPr="005957A3">
        <w:rPr>
          <w:sz w:val="22"/>
          <w:szCs w:val="22"/>
        </w:rPr>
        <w:t>1</w:t>
      </w:r>
      <w:r w:rsidR="005D47DD">
        <w:rPr>
          <w:sz w:val="22"/>
          <w:szCs w:val="22"/>
        </w:rPr>
        <w:t>2</w:t>
      </w:r>
      <w:r w:rsidRPr="005957A3">
        <w:rPr>
          <w:sz w:val="22"/>
          <w:szCs w:val="22"/>
        </w:rPr>
        <w:t xml:space="preserve"> yılının ilk altı ayında gerçekleştirdikleri bütçe giderleri ve başlangıç ödeneklerine göre gerçekleşme oranları ise aşağıdaki </w:t>
      </w:r>
      <w:r w:rsidR="00355133" w:rsidRPr="005957A3">
        <w:rPr>
          <w:sz w:val="22"/>
          <w:szCs w:val="22"/>
        </w:rPr>
        <w:t>tabloda gösterildiği şekildedir:</w:t>
      </w:r>
    </w:p>
    <w:p w:rsidR="00E67545" w:rsidRPr="005957A3" w:rsidRDefault="00E67545" w:rsidP="00E67545">
      <w:pPr>
        <w:pStyle w:val="GvdeMetni"/>
        <w:jc w:val="both"/>
        <w:rPr>
          <w:color w:val="333399"/>
          <w:sz w:val="20"/>
        </w:rPr>
      </w:pPr>
    </w:p>
    <w:tbl>
      <w:tblPr>
        <w:tblW w:w="8378" w:type="dxa"/>
        <w:jc w:val="center"/>
        <w:tblInd w:w="-320" w:type="dxa"/>
        <w:tblCellMar>
          <w:left w:w="70" w:type="dxa"/>
          <w:right w:w="70" w:type="dxa"/>
        </w:tblCellMar>
        <w:tblLook w:val="0000"/>
      </w:tblPr>
      <w:tblGrid>
        <w:gridCol w:w="3227"/>
        <w:gridCol w:w="1480"/>
        <w:gridCol w:w="1792"/>
        <w:gridCol w:w="1879"/>
      </w:tblGrid>
      <w:tr w:rsidR="00E67545" w:rsidRPr="005957A3" w:rsidTr="0087075F">
        <w:trPr>
          <w:trHeight w:val="605"/>
          <w:jc w:val="center"/>
        </w:trPr>
        <w:tc>
          <w:tcPr>
            <w:tcW w:w="3227"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vAlign w:val="center"/>
          </w:tcPr>
          <w:p w:rsidR="00E67545" w:rsidRPr="0033737C" w:rsidRDefault="00E67545" w:rsidP="006F7EB7">
            <w:pPr>
              <w:jc w:val="center"/>
              <w:rPr>
                <w:b/>
                <w:bCs/>
                <w:sz w:val="18"/>
                <w:szCs w:val="18"/>
              </w:rPr>
            </w:pPr>
            <w:r w:rsidRPr="0033737C">
              <w:rPr>
                <w:b/>
                <w:bCs/>
                <w:sz w:val="18"/>
                <w:szCs w:val="18"/>
              </w:rPr>
              <w:t>Harcama Birimleri</w:t>
            </w:r>
          </w:p>
        </w:tc>
        <w:tc>
          <w:tcPr>
            <w:tcW w:w="1480" w:type="dxa"/>
            <w:tcBorders>
              <w:top w:val="single" w:sz="8" w:space="0" w:color="auto"/>
              <w:left w:val="nil"/>
              <w:bottom w:val="single" w:sz="8" w:space="0" w:color="auto"/>
              <w:right w:val="single" w:sz="8" w:space="0" w:color="auto"/>
            </w:tcBorders>
            <w:shd w:val="clear" w:color="auto" w:fill="92CDDC" w:themeFill="accent5" w:themeFillTint="99"/>
            <w:vAlign w:val="center"/>
          </w:tcPr>
          <w:p w:rsidR="00E67545" w:rsidRPr="0033737C" w:rsidRDefault="00A24E89" w:rsidP="006F7EB7">
            <w:pPr>
              <w:jc w:val="center"/>
              <w:rPr>
                <w:b/>
                <w:bCs/>
                <w:sz w:val="18"/>
                <w:szCs w:val="18"/>
              </w:rPr>
            </w:pPr>
            <w:r w:rsidRPr="0033737C">
              <w:rPr>
                <w:b/>
                <w:bCs/>
                <w:sz w:val="18"/>
                <w:szCs w:val="18"/>
              </w:rPr>
              <w:t>Başlangıç Ödeneği (</w:t>
            </w:r>
            <w:r w:rsidR="00E67545" w:rsidRPr="0033737C">
              <w:rPr>
                <w:b/>
                <w:bCs/>
                <w:sz w:val="18"/>
                <w:szCs w:val="18"/>
              </w:rPr>
              <w:t>TL)</w:t>
            </w:r>
          </w:p>
        </w:tc>
        <w:tc>
          <w:tcPr>
            <w:tcW w:w="1792" w:type="dxa"/>
            <w:tcBorders>
              <w:top w:val="single" w:sz="8" w:space="0" w:color="auto"/>
              <w:left w:val="nil"/>
              <w:bottom w:val="single" w:sz="8" w:space="0" w:color="auto"/>
              <w:right w:val="single" w:sz="8" w:space="0" w:color="auto"/>
            </w:tcBorders>
            <w:shd w:val="clear" w:color="auto" w:fill="92CDDC" w:themeFill="accent5" w:themeFillTint="99"/>
            <w:vAlign w:val="center"/>
          </w:tcPr>
          <w:p w:rsidR="00E67545" w:rsidRPr="0033737C" w:rsidRDefault="00E67545" w:rsidP="006F7EB7">
            <w:pPr>
              <w:jc w:val="center"/>
              <w:rPr>
                <w:b/>
                <w:bCs/>
                <w:sz w:val="18"/>
                <w:szCs w:val="18"/>
              </w:rPr>
            </w:pPr>
            <w:r w:rsidRPr="0033737C">
              <w:rPr>
                <w:b/>
                <w:bCs/>
                <w:sz w:val="18"/>
                <w:szCs w:val="18"/>
              </w:rPr>
              <w:t>Oc</w:t>
            </w:r>
            <w:r w:rsidR="00A24E89" w:rsidRPr="0033737C">
              <w:rPr>
                <w:b/>
                <w:bCs/>
                <w:sz w:val="18"/>
                <w:szCs w:val="18"/>
              </w:rPr>
              <w:t>ak-Haziran Gerçekleşme Tutarı (</w:t>
            </w:r>
            <w:r w:rsidRPr="0033737C">
              <w:rPr>
                <w:b/>
                <w:bCs/>
                <w:sz w:val="18"/>
                <w:szCs w:val="18"/>
              </w:rPr>
              <w:t>TL)</w:t>
            </w:r>
          </w:p>
        </w:tc>
        <w:tc>
          <w:tcPr>
            <w:tcW w:w="1879" w:type="dxa"/>
            <w:tcBorders>
              <w:top w:val="single" w:sz="8" w:space="0" w:color="auto"/>
              <w:left w:val="nil"/>
              <w:bottom w:val="single" w:sz="8" w:space="0" w:color="auto"/>
              <w:right w:val="single" w:sz="8" w:space="0" w:color="auto"/>
            </w:tcBorders>
            <w:shd w:val="clear" w:color="auto" w:fill="92CDDC" w:themeFill="accent5" w:themeFillTint="99"/>
            <w:vAlign w:val="center"/>
          </w:tcPr>
          <w:p w:rsidR="00E67545" w:rsidRPr="0033737C" w:rsidRDefault="00E67545" w:rsidP="006F7EB7">
            <w:pPr>
              <w:jc w:val="center"/>
              <w:rPr>
                <w:b/>
                <w:bCs/>
                <w:sz w:val="18"/>
                <w:szCs w:val="18"/>
              </w:rPr>
            </w:pPr>
            <w:r w:rsidRPr="0033737C">
              <w:rPr>
                <w:b/>
                <w:bCs/>
                <w:sz w:val="18"/>
                <w:szCs w:val="18"/>
              </w:rPr>
              <w:t>Gerçekleşme Oranı(</w:t>
            </w:r>
            <w:r w:rsidRPr="0033737C">
              <w:rPr>
                <w:sz w:val="18"/>
                <w:szCs w:val="18"/>
              </w:rPr>
              <w:t>%</w:t>
            </w:r>
            <w:r w:rsidRPr="0033737C">
              <w:rPr>
                <w:b/>
                <w:bCs/>
                <w:sz w:val="18"/>
                <w:szCs w:val="18"/>
              </w:rPr>
              <w:t>)</w:t>
            </w:r>
          </w:p>
        </w:tc>
      </w:tr>
      <w:tr w:rsidR="00E67545" w:rsidRPr="005957A3" w:rsidTr="0087075F">
        <w:trPr>
          <w:trHeight w:val="298"/>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E67545" w:rsidRPr="0033737C" w:rsidRDefault="00E67545" w:rsidP="006F7EB7">
            <w:pPr>
              <w:rPr>
                <w:b/>
                <w:sz w:val="18"/>
                <w:szCs w:val="18"/>
              </w:rPr>
            </w:pPr>
            <w:r w:rsidRPr="0033737C">
              <w:rPr>
                <w:b/>
                <w:sz w:val="18"/>
                <w:szCs w:val="18"/>
              </w:rPr>
              <w:t>Özel Kalem Müdürlüğü</w:t>
            </w:r>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0A1618" w:rsidP="000A1618">
            <w:pPr>
              <w:jc w:val="right"/>
              <w:rPr>
                <w:b/>
                <w:sz w:val="18"/>
                <w:szCs w:val="18"/>
              </w:rPr>
            </w:pPr>
            <w:r>
              <w:rPr>
                <w:b/>
                <w:sz w:val="18"/>
                <w:szCs w:val="18"/>
              </w:rPr>
              <w:t>4.150.000</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0A1618" w:rsidP="00435867">
            <w:pPr>
              <w:jc w:val="right"/>
              <w:rPr>
                <w:b/>
                <w:sz w:val="18"/>
                <w:szCs w:val="18"/>
              </w:rPr>
            </w:pPr>
            <w:r>
              <w:rPr>
                <w:b/>
                <w:sz w:val="18"/>
                <w:szCs w:val="18"/>
              </w:rPr>
              <w:t>44.456.26</w:t>
            </w:r>
            <w:r w:rsidR="00435867">
              <w:rPr>
                <w:b/>
                <w:sz w:val="18"/>
                <w:szCs w:val="18"/>
              </w:rPr>
              <w:t>8</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C00D38" w:rsidP="00C00D38">
            <w:pPr>
              <w:jc w:val="center"/>
              <w:rPr>
                <w:b/>
                <w:sz w:val="18"/>
                <w:szCs w:val="18"/>
              </w:rPr>
            </w:pPr>
            <w:r>
              <w:rPr>
                <w:b/>
                <w:sz w:val="18"/>
                <w:szCs w:val="18"/>
              </w:rPr>
              <w:t>1.071,25</w:t>
            </w:r>
          </w:p>
        </w:tc>
      </w:tr>
      <w:tr w:rsidR="00E67545" w:rsidRPr="005957A3" w:rsidTr="0087075F">
        <w:trPr>
          <w:trHeight w:val="335"/>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E67545" w:rsidRPr="0033737C" w:rsidRDefault="00E67545" w:rsidP="006F7EB7">
            <w:pPr>
              <w:rPr>
                <w:b/>
                <w:sz w:val="18"/>
                <w:szCs w:val="18"/>
              </w:rPr>
            </w:pPr>
            <w:r w:rsidRPr="0033737C">
              <w:rPr>
                <w:b/>
                <w:sz w:val="18"/>
                <w:szCs w:val="18"/>
              </w:rPr>
              <w:t>Genel Sekreterlik</w:t>
            </w:r>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5D1386" w:rsidP="005D1386">
            <w:pPr>
              <w:jc w:val="right"/>
              <w:rPr>
                <w:b/>
                <w:sz w:val="18"/>
                <w:szCs w:val="18"/>
              </w:rPr>
            </w:pPr>
            <w:r>
              <w:rPr>
                <w:b/>
                <w:sz w:val="18"/>
                <w:szCs w:val="18"/>
              </w:rPr>
              <w:t>23.392.000</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0A1618" w:rsidP="009D1331">
            <w:pPr>
              <w:jc w:val="right"/>
              <w:rPr>
                <w:b/>
                <w:sz w:val="18"/>
                <w:szCs w:val="18"/>
              </w:rPr>
            </w:pPr>
            <w:r>
              <w:rPr>
                <w:b/>
                <w:sz w:val="18"/>
                <w:szCs w:val="18"/>
              </w:rPr>
              <w:t>267.865.6</w:t>
            </w:r>
            <w:r w:rsidR="009D1331">
              <w:rPr>
                <w:b/>
                <w:sz w:val="18"/>
                <w:szCs w:val="18"/>
              </w:rPr>
              <w:t>3</w:t>
            </w:r>
            <w:r>
              <w:rPr>
                <w:b/>
                <w:sz w:val="18"/>
                <w:szCs w:val="18"/>
              </w:rPr>
              <w:t>0</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4D3BCF" w:rsidP="00C00D38">
            <w:pPr>
              <w:jc w:val="center"/>
              <w:rPr>
                <w:b/>
                <w:sz w:val="18"/>
                <w:szCs w:val="18"/>
              </w:rPr>
            </w:pPr>
            <w:r w:rsidRPr="0033737C">
              <w:rPr>
                <w:b/>
                <w:sz w:val="18"/>
                <w:szCs w:val="18"/>
              </w:rPr>
              <w:t xml:space="preserve"> </w:t>
            </w:r>
            <w:r w:rsidR="00C00D38">
              <w:rPr>
                <w:b/>
                <w:sz w:val="18"/>
                <w:szCs w:val="18"/>
              </w:rPr>
              <w:t>1.145,12</w:t>
            </w:r>
          </w:p>
        </w:tc>
      </w:tr>
      <w:tr w:rsidR="00CD5A27" w:rsidRPr="005957A3" w:rsidTr="0087075F">
        <w:trPr>
          <w:trHeight w:val="335"/>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CD5A27" w:rsidRPr="000A1618" w:rsidRDefault="000A1618" w:rsidP="006F7EB7">
            <w:pPr>
              <w:rPr>
                <w:sz w:val="18"/>
                <w:szCs w:val="18"/>
              </w:rPr>
            </w:pPr>
            <w:r>
              <w:rPr>
                <w:sz w:val="18"/>
                <w:szCs w:val="18"/>
              </w:rPr>
              <w:t xml:space="preserve">                 </w:t>
            </w:r>
            <w:r w:rsidRPr="000A1618">
              <w:rPr>
                <w:sz w:val="18"/>
                <w:szCs w:val="18"/>
              </w:rPr>
              <w:t xml:space="preserve">Genel </w:t>
            </w:r>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35867">
            <w:pPr>
              <w:jc w:val="right"/>
              <w:rPr>
                <w:b/>
                <w:sz w:val="18"/>
                <w:szCs w:val="18"/>
              </w:rPr>
            </w:pPr>
            <w:r>
              <w:rPr>
                <w:b/>
                <w:sz w:val="18"/>
                <w:szCs w:val="18"/>
              </w:rPr>
              <w:t>266.489.0</w:t>
            </w:r>
            <w:r w:rsidR="00435867">
              <w:rPr>
                <w:b/>
                <w:sz w:val="18"/>
                <w:szCs w:val="18"/>
              </w:rPr>
              <w:t>10</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CD5A27" w:rsidP="004C44FF">
            <w:pPr>
              <w:jc w:val="center"/>
              <w:rPr>
                <w:b/>
                <w:sz w:val="18"/>
                <w:szCs w:val="18"/>
              </w:rPr>
            </w:pPr>
          </w:p>
        </w:tc>
      </w:tr>
      <w:tr w:rsidR="00CD5A27" w:rsidRPr="005957A3" w:rsidTr="0087075F">
        <w:trPr>
          <w:trHeight w:val="335"/>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CD5A27" w:rsidRPr="000A1618" w:rsidRDefault="000A1618" w:rsidP="006F7EB7">
            <w:pPr>
              <w:rPr>
                <w:sz w:val="18"/>
                <w:szCs w:val="18"/>
              </w:rPr>
            </w:pPr>
            <w:r>
              <w:rPr>
                <w:sz w:val="18"/>
                <w:szCs w:val="18"/>
              </w:rPr>
              <w:t xml:space="preserve">                 </w:t>
            </w:r>
            <w:r w:rsidRPr="000A1618">
              <w:rPr>
                <w:sz w:val="18"/>
                <w:szCs w:val="18"/>
              </w:rPr>
              <w:t xml:space="preserve">İdari ve Mali İşler Dire </w:t>
            </w:r>
            <w:proofErr w:type="spellStart"/>
            <w:r w:rsidRPr="000A1618">
              <w:rPr>
                <w:sz w:val="18"/>
                <w:szCs w:val="18"/>
              </w:rPr>
              <w:t>Başk</w:t>
            </w:r>
            <w:proofErr w:type="spellEnd"/>
            <w:r w:rsidRPr="000A1618">
              <w:rPr>
                <w:sz w:val="18"/>
                <w:szCs w:val="18"/>
              </w:rPr>
              <w:t>.</w:t>
            </w:r>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1.222.430</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CD5A27" w:rsidP="004C44FF">
            <w:pPr>
              <w:jc w:val="center"/>
              <w:rPr>
                <w:b/>
                <w:sz w:val="18"/>
                <w:szCs w:val="18"/>
              </w:rPr>
            </w:pPr>
          </w:p>
        </w:tc>
      </w:tr>
      <w:tr w:rsidR="00CD5A27" w:rsidRPr="005957A3" w:rsidTr="0087075F">
        <w:trPr>
          <w:trHeight w:val="335"/>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CD5A27" w:rsidRPr="000A1618" w:rsidRDefault="000A1618" w:rsidP="006F7EB7">
            <w:pPr>
              <w:rPr>
                <w:sz w:val="18"/>
                <w:szCs w:val="18"/>
              </w:rPr>
            </w:pPr>
            <w:r>
              <w:rPr>
                <w:sz w:val="18"/>
                <w:szCs w:val="18"/>
              </w:rPr>
              <w:t xml:space="preserve">                 </w:t>
            </w:r>
            <w:r w:rsidRPr="000A1618">
              <w:rPr>
                <w:sz w:val="18"/>
                <w:szCs w:val="18"/>
              </w:rPr>
              <w:t xml:space="preserve">İnşaat Bakım Onarım Dire </w:t>
            </w:r>
            <w:proofErr w:type="spellStart"/>
            <w:r w:rsidRPr="000A1618">
              <w:rPr>
                <w:sz w:val="18"/>
                <w:szCs w:val="18"/>
              </w:rPr>
              <w:t>Başk</w:t>
            </w:r>
            <w:proofErr w:type="spellEnd"/>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150.700</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CD5A27" w:rsidP="004C44FF">
            <w:pPr>
              <w:jc w:val="center"/>
              <w:rPr>
                <w:b/>
                <w:sz w:val="18"/>
                <w:szCs w:val="18"/>
              </w:rPr>
            </w:pPr>
          </w:p>
        </w:tc>
      </w:tr>
      <w:tr w:rsidR="00CD5A27" w:rsidRPr="005957A3" w:rsidTr="0087075F">
        <w:trPr>
          <w:trHeight w:val="335"/>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CD5A27" w:rsidRPr="000A1618" w:rsidRDefault="000A1618" w:rsidP="006F7EB7">
            <w:pPr>
              <w:rPr>
                <w:sz w:val="18"/>
                <w:szCs w:val="18"/>
              </w:rPr>
            </w:pPr>
            <w:r>
              <w:rPr>
                <w:sz w:val="18"/>
                <w:szCs w:val="18"/>
              </w:rPr>
              <w:t xml:space="preserve">                 </w:t>
            </w:r>
            <w:r w:rsidRPr="000A1618">
              <w:rPr>
                <w:sz w:val="18"/>
                <w:szCs w:val="18"/>
              </w:rPr>
              <w:t xml:space="preserve">Bilgi İşlem Dire </w:t>
            </w:r>
            <w:proofErr w:type="spellStart"/>
            <w:r w:rsidRPr="000A1618">
              <w:rPr>
                <w:sz w:val="18"/>
                <w:szCs w:val="18"/>
              </w:rPr>
              <w:t>Başk</w:t>
            </w:r>
            <w:proofErr w:type="spellEnd"/>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0A1618" w:rsidP="004D3BCF">
            <w:pPr>
              <w:jc w:val="right"/>
              <w:rPr>
                <w:b/>
                <w:sz w:val="18"/>
                <w:szCs w:val="18"/>
              </w:rPr>
            </w:pPr>
            <w:r>
              <w:rPr>
                <w:b/>
                <w:sz w:val="18"/>
                <w:szCs w:val="18"/>
              </w:rPr>
              <w:t>3.490</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CD5A27" w:rsidRPr="0033737C" w:rsidRDefault="00CD5A27" w:rsidP="004C44FF">
            <w:pPr>
              <w:jc w:val="center"/>
              <w:rPr>
                <w:b/>
                <w:sz w:val="18"/>
                <w:szCs w:val="18"/>
              </w:rPr>
            </w:pPr>
          </w:p>
        </w:tc>
      </w:tr>
      <w:tr w:rsidR="00E67545" w:rsidRPr="005957A3" w:rsidTr="0087075F">
        <w:trPr>
          <w:trHeight w:val="323"/>
          <w:jc w:val="center"/>
        </w:trPr>
        <w:tc>
          <w:tcPr>
            <w:tcW w:w="3227"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E67545" w:rsidRPr="0033737C" w:rsidRDefault="004D3BCF" w:rsidP="004D3BCF">
            <w:pPr>
              <w:rPr>
                <w:b/>
                <w:sz w:val="18"/>
                <w:szCs w:val="18"/>
              </w:rPr>
            </w:pPr>
            <w:r w:rsidRPr="0033737C">
              <w:rPr>
                <w:b/>
                <w:sz w:val="18"/>
                <w:szCs w:val="18"/>
              </w:rPr>
              <w:t>Üniversitelerarası Kurul Başkanlığı</w:t>
            </w:r>
          </w:p>
        </w:tc>
        <w:tc>
          <w:tcPr>
            <w:tcW w:w="1480"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0A1618" w:rsidP="000A1618">
            <w:pPr>
              <w:jc w:val="right"/>
              <w:rPr>
                <w:b/>
                <w:sz w:val="18"/>
                <w:szCs w:val="18"/>
              </w:rPr>
            </w:pPr>
            <w:r>
              <w:rPr>
                <w:b/>
                <w:sz w:val="18"/>
                <w:szCs w:val="18"/>
              </w:rPr>
              <w:t>1.434.</w:t>
            </w:r>
            <w:r w:rsidR="00FD157F" w:rsidRPr="0033737C">
              <w:rPr>
                <w:b/>
                <w:sz w:val="18"/>
                <w:szCs w:val="18"/>
              </w:rPr>
              <w:t>000</w:t>
            </w:r>
          </w:p>
        </w:tc>
        <w:tc>
          <w:tcPr>
            <w:tcW w:w="1792"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0A1618" w:rsidP="00435867">
            <w:pPr>
              <w:jc w:val="right"/>
              <w:rPr>
                <w:b/>
                <w:sz w:val="18"/>
                <w:szCs w:val="18"/>
              </w:rPr>
            </w:pPr>
            <w:r>
              <w:rPr>
                <w:b/>
                <w:sz w:val="18"/>
                <w:szCs w:val="18"/>
              </w:rPr>
              <w:t>471.27</w:t>
            </w:r>
            <w:r w:rsidR="00435867">
              <w:rPr>
                <w:b/>
                <w:sz w:val="18"/>
                <w:szCs w:val="18"/>
              </w:rPr>
              <w:t>8</w:t>
            </w:r>
          </w:p>
        </w:tc>
        <w:tc>
          <w:tcPr>
            <w:tcW w:w="1879" w:type="dxa"/>
            <w:tcBorders>
              <w:top w:val="single" w:sz="8" w:space="0" w:color="auto"/>
              <w:left w:val="nil"/>
              <w:bottom w:val="single" w:sz="8" w:space="0" w:color="auto"/>
              <w:right w:val="single" w:sz="8" w:space="0" w:color="auto"/>
            </w:tcBorders>
            <w:shd w:val="clear" w:color="auto" w:fill="DAEEF3" w:themeFill="accent5" w:themeFillTint="33"/>
            <w:noWrap/>
            <w:vAlign w:val="bottom"/>
          </w:tcPr>
          <w:p w:rsidR="00E67545" w:rsidRPr="0033737C" w:rsidRDefault="00C00D38" w:rsidP="004C44FF">
            <w:pPr>
              <w:jc w:val="center"/>
              <w:rPr>
                <w:b/>
                <w:sz w:val="18"/>
                <w:szCs w:val="18"/>
              </w:rPr>
            </w:pPr>
            <w:r>
              <w:rPr>
                <w:b/>
                <w:sz w:val="18"/>
                <w:szCs w:val="18"/>
              </w:rPr>
              <w:t>32,86</w:t>
            </w:r>
          </w:p>
        </w:tc>
      </w:tr>
      <w:tr w:rsidR="00E67545" w:rsidRPr="005957A3" w:rsidTr="0087075F">
        <w:trPr>
          <w:trHeight w:val="466"/>
          <w:jc w:val="center"/>
        </w:trPr>
        <w:tc>
          <w:tcPr>
            <w:tcW w:w="3227" w:type="dxa"/>
            <w:tcBorders>
              <w:top w:val="single" w:sz="8" w:space="0" w:color="auto"/>
              <w:left w:val="single" w:sz="4" w:space="0" w:color="auto"/>
              <w:bottom w:val="single" w:sz="4" w:space="0" w:color="auto"/>
              <w:right w:val="single" w:sz="4" w:space="0" w:color="auto"/>
            </w:tcBorders>
            <w:shd w:val="clear" w:color="auto" w:fill="92CDDC" w:themeFill="accent5" w:themeFillTint="99"/>
            <w:noWrap/>
            <w:vAlign w:val="bottom"/>
          </w:tcPr>
          <w:p w:rsidR="00E67545" w:rsidRPr="0033737C" w:rsidRDefault="00E67545" w:rsidP="006F7EB7">
            <w:pPr>
              <w:rPr>
                <w:b/>
                <w:sz w:val="18"/>
                <w:szCs w:val="18"/>
              </w:rPr>
            </w:pPr>
            <w:r w:rsidRPr="0033737C">
              <w:rPr>
                <w:b/>
                <w:sz w:val="18"/>
                <w:szCs w:val="18"/>
              </w:rPr>
              <w:t>GENEL TOPLAM</w:t>
            </w:r>
          </w:p>
        </w:tc>
        <w:tc>
          <w:tcPr>
            <w:tcW w:w="1480" w:type="dxa"/>
            <w:tcBorders>
              <w:top w:val="single" w:sz="8" w:space="0" w:color="auto"/>
              <w:left w:val="nil"/>
              <w:bottom w:val="single" w:sz="4" w:space="0" w:color="auto"/>
              <w:right w:val="single" w:sz="4" w:space="0" w:color="auto"/>
            </w:tcBorders>
            <w:shd w:val="clear" w:color="auto" w:fill="92CDDC" w:themeFill="accent5" w:themeFillTint="99"/>
            <w:noWrap/>
            <w:vAlign w:val="bottom"/>
          </w:tcPr>
          <w:p w:rsidR="00E67545" w:rsidRPr="0033737C" w:rsidRDefault="005D1386" w:rsidP="005D1386">
            <w:pPr>
              <w:jc w:val="right"/>
              <w:rPr>
                <w:b/>
                <w:sz w:val="18"/>
                <w:szCs w:val="18"/>
              </w:rPr>
            </w:pPr>
            <w:r>
              <w:rPr>
                <w:b/>
                <w:sz w:val="18"/>
                <w:szCs w:val="18"/>
              </w:rPr>
              <w:t>28.976.000</w:t>
            </w:r>
          </w:p>
        </w:tc>
        <w:tc>
          <w:tcPr>
            <w:tcW w:w="1792" w:type="dxa"/>
            <w:tcBorders>
              <w:top w:val="single" w:sz="8" w:space="0" w:color="auto"/>
              <w:left w:val="nil"/>
              <w:bottom w:val="single" w:sz="4" w:space="0" w:color="auto"/>
              <w:right w:val="single" w:sz="4" w:space="0" w:color="auto"/>
            </w:tcBorders>
            <w:shd w:val="clear" w:color="auto" w:fill="92CDDC" w:themeFill="accent5" w:themeFillTint="99"/>
            <w:noWrap/>
            <w:vAlign w:val="bottom"/>
          </w:tcPr>
          <w:p w:rsidR="00E67545" w:rsidRPr="0033737C" w:rsidRDefault="000A1618" w:rsidP="00435867">
            <w:pPr>
              <w:jc w:val="right"/>
              <w:rPr>
                <w:b/>
                <w:sz w:val="18"/>
                <w:szCs w:val="18"/>
              </w:rPr>
            </w:pPr>
            <w:r>
              <w:rPr>
                <w:b/>
                <w:sz w:val="18"/>
                <w:szCs w:val="18"/>
              </w:rPr>
              <w:t>312.793.1</w:t>
            </w:r>
            <w:r w:rsidR="00435867">
              <w:rPr>
                <w:b/>
                <w:sz w:val="18"/>
                <w:szCs w:val="18"/>
              </w:rPr>
              <w:t>76</w:t>
            </w:r>
          </w:p>
        </w:tc>
        <w:tc>
          <w:tcPr>
            <w:tcW w:w="1879" w:type="dxa"/>
            <w:tcBorders>
              <w:top w:val="single" w:sz="8" w:space="0" w:color="auto"/>
              <w:left w:val="nil"/>
              <w:bottom w:val="single" w:sz="4" w:space="0" w:color="auto"/>
              <w:right w:val="single" w:sz="4" w:space="0" w:color="auto"/>
            </w:tcBorders>
            <w:shd w:val="clear" w:color="auto" w:fill="92CDDC" w:themeFill="accent5" w:themeFillTint="99"/>
            <w:noWrap/>
            <w:vAlign w:val="bottom"/>
          </w:tcPr>
          <w:p w:rsidR="00E67545" w:rsidRPr="0033737C" w:rsidRDefault="0089084D" w:rsidP="004D3BCF">
            <w:pPr>
              <w:jc w:val="center"/>
              <w:rPr>
                <w:b/>
                <w:sz w:val="18"/>
                <w:szCs w:val="18"/>
              </w:rPr>
            </w:pPr>
            <w:r w:rsidRPr="0033737C">
              <w:rPr>
                <w:b/>
                <w:sz w:val="18"/>
                <w:szCs w:val="18"/>
              </w:rPr>
              <w:t>----</w:t>
            </w:r>
          </w:p>
        </w:tc>
      </w:tr>
    </w:tbl>
    <w:p w:rsidR="00E67545" w:rsidRPr="005957A3" w:rsidRDefault="00E67545" w:rsidP="00355133">
      <w:pPr>
        <w:pStyle w:val="GvdeMetni"/>
        <w:ind w:right="139" w:firstLine="708"/>
        <w:jc w:val="both"/>
        <w:rPr>
          <w:b/>
          <w:bCs/>
          <w:color w:val="333399"/>
          <w:sz w:val="20"/>
        </w:rPr>
      </w:pPr>
    </w:p>
    <w:p w:rsidR="0089084D" w:rsidRPr="005957A3" w:rsidRDefault="0089084D" w:rsidP="001666E4">
      <w:pPr>
        <w:pStyle w:val="GvdeMetni"/>
        <w:jc w:val="both"/>
        <w:rPr>
          <w:b/>
          <w:bCs/>
          <w:color w:val="333399"/>
          <w:sz w:val="20"/>
        </w:rPr>
      </w:pPr>
    </w:p>
    <w:p w:rsidR="001666E4" w:rsidRPr="005957A3" w:rsidRDefault="001666E4" w:rsidP="001666E4">
      <w:pPr>
        <w:pStyle w:val="GvdeMetni"/>
        <w:jc w:val="both"/>
        <w:rPr>
          <w:sz w:val="22"/>
          <w:szCs w:val="22"/>
        </w:rPr>
      </w:pPr>
      <w:r w:rsidRPr="005957A3">
        <w:rPr>
          <w:b/>
          <w:bCs/>
          <w:color w:val="333399"/>
          <w:sz w:val="20"/>
        </w:rPr>
        <w:tab/>
      </w:r>
      <w:r w:rsidR="00823C01">
        <w:rPr>
          <w:sz w:val="22"/>
          <w:szCs w:val="22"/>
        </w:rPr>
        <w:t xml:space="preserve">Yukarıda </w:t>
      </w:r>
      <w:r w:rsidRPr="005957A3">
        <w:rPr>
          <w:sz w:val="22"/>
          <w:szCs w:val="22"/>
        </w:rPr>
        <w:t>görüldüğü gibi, 201</w:t>
      </w:r>
      <w:r w:rsidR="005D47DD">
        <w:rPr>
          <w:sz w:val="22"/>
          <w:szCs w:val="22"/>
        </w:rPr>
        <w:t>2</w:t>
      </w:r>
      <w:r w:rsidRPr="005957A3">
        <w:rPr>
          <w:sz w:val="22"/>
          <w:szCs w:val="22"/>
        </w:rPr>
        <w:t xml:space="preserve"> yılının ilk altı ayında gerçekleşen bütçe giderleri, kurum başlangıç ödeneğinden sapma göstermektedir. Söz </w:t>
      </w:r>
      <w:r w:rsidR="005957A3">
        <w:rPr>
          <w:sz w:val="22"/>
          <w:szCs w:val="22"/>
        </w:rPr>
        <w:t>konusu farklılık</w:t>
      </w:r>
      <w:r w:rsidR="00823C01">
        <w:rPr>
          <w:sz w:val="22"/>
          <w:szCs w:val="22"/>
        </w:rPr>
        <w:t>lara ilişkin açıklamalar aşağıda belirtilmiştir.</w:t>
      </w:r>
    </w:p>
    <w:p w:rsidR="001666E4" w:rsidRPr="005957A3" w:rsidRDefault="001666E4" w:rsidP="001666E4">
      <w:pPr>
        <w:pStyle w:val="GvdeMetni"/>
        <w:jc w:val="both"/>
        <w:rPr>
          <w:sz w:val="22"/>
          <w:szCs w:val="22"/>
        </w:rPr>
      </w:pPr>
    </w:p>
    <w:p w:rsidR="002616CF" w:rsidRPr="00B222EA" w:rsidRDefault="00B222EA" w:rsidP="00677251">
      <w:pPr>
        <w:pStyle w:val="GvdeMetni"/>
        <w:ind w:firstLine="708"/>
        <w:jc w:val="both"/>
        <w:rPr>
          <w:sz w:val="22"/>
          <w:szCs w:val="22"/>
        </w:rPr>
      </w:pPr>
      <w:r>
        <w:rPr>
          <w:sz w:val="22"/>
          <w:szCs w:val="22"/>
        </w:rPr>
        <w:lastRenderedPageBreak/>
        <w:t xml:space="preserve">“05.8 Gelirden Ayrılan Paylar” ekonomik kodunda yer alan sapmanın nedeni; </w:t>
      </w:r>
      <w:r w:rsidR="002616CF" w:rsidRPr="00B222EA">
        <w:rPr>
          <w:sz w:val="22"/>
          <w:szCs w:val="22"/>
        </w:rPr>
        <w:t>2012 Merkezi Yönetim Bütçe Kanununun 28. maddesinin (3) numaralı bendinde yer alan “</w:t>
      </w:r>
      <w:proofErr w:type="gramStart"/>
      <w:r w:rsidR="002616CF" w:rsidRPr="00B222EA">
        <w:rPr>
          <w:sz w:val="22"/>
          <w:szCs w:val="22"/>
        </w:rPr>
        <w:t>31/12/2011</w:t>
      </w:r>
      <w:proofErr w:type="gramEnd"/>
      <w:r w:rsidR="002616CF" w:rsidRPr="00B222EA">
        <w:rPr>
          <w:sz w:val="22"/>
          <w:szCs w:val="22"/>
        </w:rPr>
        <w:t xml:space="preserve"> tarihi itibarıyla, Türk Patent Enstitüsü, Türk Standartları Enstitüsü, Yükseköğretim Kurulu, Sivil Havacılık Genel Müdürlüğü, Ölçme, Seçme ve Yerleştirme Merkezi Başkanlığı ve Anadolu Üniversitesi Döner Sermaye İşletmesinin uzaktan eğitim uygulayan İktisat, İşletme ve </w:t>
      </w:r>
      <w:proofErr w:type="spellStart"/>
      <w:r w:rsidR="002616CF" w:rsidRPr="00B222EA">
        <w:rPr>
          <w:sz w:val="22"/>
          <w:szCs w:val="22"/>
        </w:rPr>
        <w:t>Açıköğretim</w:t>
      </w:r>
      <w:proofErr w:type="spellEnd"/>
      <w:r w:rsidR="002616CF" w:rsidRPr="00B222EA">
        <w:rPr>
          <w:sz w:val="22"/>
          <w:szCs w:val="22"/>
        </w:rPr>
        <w:t xml:space="preserve"> Fakültesine ait Türk Lirası ve döviz cinsinden kasa ve banka bakiyelerinin yarısına tekabül eden Türk Lirası tutarı ile bunların sahip oldukları tahvil, bono ve diğer menkul kıymetlerinin değerinin yarısına tekabül eden Türk Lirası tutarı 2012 yılı Şubat ayı sonuna kadar Maliye Bakanlığı Merkez Muhasebe Birimi hesabına aktarılır.” hük</w:t>
      </w:r>
      <w:r>
        <w:rPr>
          <w:sz w:val="22"/>
          <w:szCs w:val="22"/>
        </w:rPr>
        <w:t>üm</w:t>
      </w:r>
      <w:r w:rsidR="002616CF" w:rsidRPr="00B222EA">
        <w:rPr>
          <w:sz w:val="22"/>
          <w:szCs w:val="22"/>
        </w:rPr>
        <w:t xml:space="preserve"> gereğince Kurulumuz banka hesabında bulunan </w:t>
      </w:r>
      <w:r w:rsidR="00204EF5">
        <w:rPr>
          <w:sz w:val="22"/>
          <w:szCs w:val="22"/>
        </w:rPr>
        <w:t>253.612.868.-</w:t>
      </w:r>
      <w:r w:rsidR="002616CF" w:rsidRPr="00B222EA">
        <w:rPr>
          <w:sz w:val="22"/>
          <w:szCs w:val="22"/>
        </w:rPr>
        <w:t xml:space="preserve"> TL Maliye Bakanlığı Merkez Muhasebe Birimi hesabına aktarıl</w:t>
      </w:r>
      <w:r>
        <w:rPr>
          <w:sz w:val="22"/>
          <w:szCs w:val="22"/>
        </w:rPr>
        <w:t>masıdır.</w:t>
      </w:r>
      <w:r w:rsidR="002616CF" w:rsidRPr="00B222EA">
        <w:rPr>
          <w:sz w:val="22"/>
          <w:szCs w:val="22"/>
        </w:rPr>
        <w:t xml:space="preserve"> </w:t>
      </w:r>
    </w:p>
    <w:p w:rsidR="002616CF" w:rsidRDefault="002616CF" w:rsidP="00041207">
      <w:pPr>
        <w:pStyle w:val="GvdeMetni"/>
        <w:ind w:firstLine="360"/>
        <w:jc w:val="both"/>
        <w:rPr>
          <w:sz w:val="22"/>
          <w:szCs w:val="22"/>
        </w:rPr>
      </w:pPr>
    </w:p>
    <w:p w:rsidR="001666E4" w:rsidRDefault="001666E4" w:rsidP="00677251">
      <w:pPr>
        <w:pStyle w:val="GvdeMetni"/>
        <w:ind w:firstLine="708"/>
        <w:jc w:val="both"/>
        <w:rPr>
          <w:sz w:val="22"/>
          <w:szCs w:val="22"/>
        </w:rPr>
      </w:pPr>
      <w:r w:rsidRPr="005957A3">
        <w:rPr>
          <w:sz w:val="22"/>
          <w:szCs w:val="22"/>
        </w:rPr>
        <w:t xml:space="preserve">01.2 Sözleşmeli Personel Giderleri ve </w:t>
      </w:r>
      <w:proofErr w:type="gramStart"/>
      <w:r w:rsidRPr="005957A3">
        <w:rPr>
          <w:sz w:val="22"/>
          <w:szCs w:val="22"/>
        </w:rPr>
        <w:t>02.2</w:t>
      </w:r>
      <w:proofErr w:type="gramEnd"/>
      <w:r w:rsidRPr="005957A3">
        <w:rPr>
          <w:sz w:val="22"/>
          <w:szCs w:val="22"/>
        </w:rPr>
        <w:t xml:space="preserve"> Sözleşmeli Personel Sosyal Güvenlik Kurumlarına Devlet Primi Giderleri Kalemlerinde, tahsis edilen kanuni başlangıç ödeneklerinden toplamda </w:t>
      </w:r>
      <w:r w:rsidR="00464D14">
        <w:rPr>
          <w:sz w:val="22"/>
          <w:szCs w:val="22"/>
        </w:rPr>
        <w:t>70.010</w:t>
      </w:r>
      <w:r w:rsidRPr="005957A3">
        <w:rPr>
          <w:sz w:val="22"/>
          <w:szCs w:val="22"/>
        </w:rPr>
        <w:t>.-TL</w:t>
      </w:r>
      <w:r w:rsidR="00823C01">
        <w:rPr>
          <w:sz w:val="22"/>
          <w:szCs w:val="22"/>
        </w:rPr>
        <w:t>’lik</w:t>
      </w:r>
      <w:r w:rsidRPr="005957A3">
        <w:rPr>
          <w:sz w:val="22"/>
          <w:szCs w:val="22"/>
        </w:rPr>
        <w:t xml:space="preserve"> sapmanın nedeni, kuruma yeni sözleşmeli personel alınmasıdır.</w:t>
      </w:r>
    </w:p>
    <w:p w:rsidR="000855B2" w:rsidRPr="005957A3" w:rsidRDefault="000855B2" w:rsidP="00041207">
      <w:pPr>
        <w:pStyle w:val="GvdeMetni"/>
        <w:ind w:firstLine="360"/>
        <w:jc w:val="both"/>
        <w:rPr>
          <w:sz w:val="22"/>
          <w:szCs w:val="22"/>
        </w:rPr>
      </w:pPr>
    </w:p>
    <w:p w:rsidR="001666E4" w:rsidRDefault="001666E4" w:rsidP="00677251">
      <w:pPr>
        <w:pStyle w:val="GvdeMetni"/>
        <w:ind w:firstLine="708"/>
        <w:jc w:val="both"/>
        <w:rPr>
          <w:sz w:val="22"/>
          <w:szCs w:val="22"/>
        </w:rPr>
      </w:pPr>
      <w:r w:rsidRPr="005957A3">
        <w:rPr>
          <w:sz w:val="22"/>
          <w:szCs w:val="22"/>
        </w:rPr>
        <w:t>03.4 Görev Giderleri kalemindeki 1</w:t>
      </w:r>
      <w:r w:rsidR="00464D14">
        <w:rPr>
          <w:sz w:val="22"/>
          <w:szCs w:val="22"/>
        </w:rPr>
        <w:t>03</w:t>
      </w:r>
      <w:r w:rsidRPr="005957A3">
        <w:rPr>
          <w:sz w:val="22"/>
          <w:szCs w:val="22"/>
        </w:rPr>
        <w:t>.</w:t>
      </w:r>
      <w:r w:rsidR="00464D14">
        <w:rPr>
          <w:sz w:val="22"/>
          <w:szCs w:val="22"/>
        </w:rPr>
        <w:t>560</w:t>
      </w:r>
      <w:r w:rsidRPr="005957A3">
        <w:rPr>
          <w:sz w:val="22"/>
          <w:szCs w:val="22"/>
        </w:rPr>
        <w:t xml:space="preserve">.-TL sapmanın sebebi, kanunen yapılması zorunlu olan Mahkeme harçlarıdır. </w:t>
      </w:r>
    </w:p>
    <w:p w:rsidR="009434FB" w:rsidRPr="005957A3" w:rsidRDefault="009434FB" w:rsidP="00041207">
      <w:pPr>
        <w:pStyle w:val="GvdeMetni"/>
        <w:ind w:firstLine="360"/>
        <w:jc w:val="both"/>
        <w:rPr>
          <w:sz w:val="22"/>
          <w:szCs w:val="22"/>
        </w:rPr>
      </w:pPr>
    </w:p>
    <w:p w:rsidR="001666E4" w:rsidRPr="007B547A" w:rsidRDefault="00823C01" w:rsidP="00677251">
      <w:pPr>
        <w:pStyle w:val="GvdeMetni"/>
        <w:ind w:firstLine="708"/>
        <w:jc w:val="both"/>
        <w:rPr>
          <w:sz w:val="22"/>
          <w:szCs w:val="22"/>
        </w:rPr>
      </w:pPr>
      <w:r>
        <w:rPr>
          <w:sz w:val="22"/>
          <w:szCs w:val="22"/>
        </w:rPr>
        <w:t>03.5 Hizmet Alımları kaleminde</w:t>
      </w:r>
      <w:r w:rsidR="007E6862" w:rsidRPr="005957A3">
        <w:rPr>
          <w:sz w:val="22"/>
          <w:szCs w:val="22"/>
        </w:rPr>
        <w:t xml:space="preserve"> </w:t>
      </w:r>
      <w:r w:rsidR="00464D14">
        <w:rPr>
          <w:sz w:val="22"/>
          <w:szCs w:val="22"/>
        </w:rPr>
        <w:t>1.435.904</w:t>
      </w:r>
      <w:r w:rsidR="007E6862" w:rsidRPr="005957A3">
        <w:rPr>
          <w:sz w:val="22"/>
          <w:szCs w:val="22"/>
        </w:rPr>
        <w:t>.-</w:t>
      </w:r>
      <w:r w:rsidR="00464D14">
        <w:rPr>
          <w:sz w:val="22"/>
          <w:szCs w:val="22"/>
        </w:rPr>
        <w:t xml:space="preserve"> </w:t>
      </w:r>
      <w:r w:rsidR="007E6862" w:rsidRPr="005957A3">
        <w:rPr>
          <w:sz w:val="22"/>
          <w:szCs w:val="22"/>
        </w:rPr>
        <w:t>TL sapma görülmektedir. Söz konusu g</w:t>
      </w:r>
      <w:r w:rsidR="00AB5AEC" w:rsidRPr="005957A3">
        <w:rPr>
          <w:sz w:val="22"/>
          <w:szCs w:val="22"/>
        </w:rPr>
        <w:t>ider, 6</w:t>
      </w:r>
      <w:r w:rsidR="004732EC">
        <w:rPr>
          <w:sz w:val="22"/>
          <w:szCs w:val="22"/>
        </w:rPr>
        <w:t>260</w:t>
      </w:r>
      <w:r w:rsidR="00AB5AEC" w:rsidRPr="005957A3">
        <w:rPr>
          <w:sz w:val="22"/>
          <w:szCs w:val="22"/>
        </w:rPr>
        <w:t xml:space="preserve"> Sayılı Bütçe Kanunu madde 8/6’ya dayanılarak, önceki yıldan devreden finansman fazlasından</w:t>
      </w:r>
      <w:r w:rsidR="007E6862" w:rsidRPr="005957A3">
        <w:rPr>
          <w:sz w:val="22"/>
          <w:szCs w:val="22"/>
        </w:rPr>
        <w:t xml:space="preserve"> ekleme yapılarak karşılanmıştır. </w:t>
      </w:r>
      <w:r w:rsidR="004732EC">
        <w:rPr>
          <w:sz w:val="22"/>
          <w:szCs w:val="22"/>
        </w:rPr>
        <w:t>Bu tutar</w:t>
      </w:r>
      <w:r w:rsidR="007B547A">
        <w:rPr>
          <w:sz w:val="22"/>
          <w:szCs w:val="22"/>
        </w:rPr>
        <w:t>ın</w:t>
      </w:r>
      <w:r w:rsidR="004732EC">
        <w:rPr>
          <w:sz w:val="22"/>
          <w:szCs w:val="22"/>
        </w:rPr>
        <w:t xml:space="preserve"> </w:t>
      </w:r>
      <w:r w:rsidR="007B547A" w:rsidRPr="007B547A">
        <w:rPr>
          <w:sz w:val="22"/>
          <w:szCs w:val="22"/>
        </w:rPr>
        <w:t>949.106.-</w:t>
      </w:r>
      <w:proofErr w:type="spellStart"/>
      <w:r w:rsidR="007B547A" w:rsidRPr="007B547A">
        <w:rPr>
          <w:sz w:val="22"/>
          <w:szCs w:val="22"/>
        </w:rPr>
        <w:t>TL’sı</w:t>
      </w:r>
      <w:proofErr w:type="spellEnd"/>
      <w:r w:rsidR="007B547A" w:rsidRPr="007B547A">
        <w:rPr>
          <w:sz w:val="22"/>
          <w:szCs w:val="22"/>
        </w:rPr>
        <w:t xml:space="preserve">, </w:t>
      </w:r>
      <w:r w:rsidR="00690804" w:rsidRPr="007B547A">
        <w:rPr>
          <w:sz w:val="22"/>
          <w:szCs w:val="22"/>
        </w:rPr>
        <w:t>2012</w:t>
      </w:r>
      <w:r w:rsidR="004732EC" w:rsidRPr="007B547A">
        <w:rPr>
          <w:sz w:val="22"/>
          <w:szCs w:val="22"/>
        </w:rPr>
        <w:t xml:space="preserve"> </w:t>
      </w:r>
      <w:r w:rsidR="00690804" w:rsidRPr="007B547A">
        <w:rPr>
          <w:sz w:val="22"/>
          <w:szCs w:val="22"/>
        </w:rPr>
        <w:t xml:space="preserve">yılı </w:t>
      </w:r>
      <w:r w:rsidR="004732EC" w:rsidRPr="007B547A">
        <w:rPr>
          <w:sz w:val="22"/>
          <w:szCs w:val="22"/>
        </w:rPr>
        <w:t>B</w:t>
      </w:r>
      <w:r w:rsidR="00690804" w:rsidRPr="007B547A">
        <w:rPr>
          <w:sz w:val="22"/>
          <w:szCs w:val="22"/>
        </w:rPr>
        <w:t>ütçe başlangıç ödeneği</w:t>
      </w:r>
      <w:r w:rsidR="004732EC" w:rsidRPr="007B547A">
        <w:rPr>
          <w:sz w:val="22"/>
          <w:szCs w:val="22"/>
        </w:rPr>
        <w:t>nin yetersiz olması</w:t>
      </w:r>
      <w:r w:rsidR="00690804" w:rsidRPr="007B547A">
        <w:rPr>
          <w:sz w:val="22"/>
          <w:szCs w:val="22"/>
        </w:rPr>
        <w:t xml:space="preserve"> sebebiyle </w:t>
      </w:r>
      <w:r w:rsidR="00041207">
        <w:rPr>
          <w:sz w:val="22"/>
          <w:szCs w:val="22"/>
        </w:rPr>
        <w:t>P</w:t>
      </w:r>
      <w:r w:rsidR="00690804" w:rsidRPr="007B547A">
        <w:rPr>
          <w:sz w:val="22"/>
          <w:szCs w:val="22"/>
        </w:rPr>
        <w:t xml:space="preserve">ersonel </w:t>
      </w:r>
      <w:r w:rsidR="00041207">
        <w:rPr>
          <w:sz w:val="22"/>
          <w:szCs w:val="22"/>
        </w:rPr>
        <w:t>T</w:t>
      </w:r>
      <w:r w:rsidR="00690804" w:rsidRPr="007B547A">
        <w:rPr>
          <w:sz w:val="22"/>
          <w:szCs w:val="22"/>
        </w:rPr>
        <w:t xml:space="preserve">aşıma </w:t>
      </w:r>
      <w:r w:rsidR="00041207">
        <w:rPr>
          <w:sz w:val="22"/>
          <w:szCs w:val="22"/>
        </w:rPr>
        <w:t>H</w:t>
      </w:r>
      <w:r w:rsidR="00690804" w:rsidRPr="007B547A">
        <w:rPr>
          <w:sz w:val="22"/>
          <w:szCs w:val="22"/>
        </w:rPr>
        <w:t>izmet</w:t>
      </w:r>
      <w:r w:rsidR="004732EC" w:rsidRPr="007B547A">
        <w:rPr>
          <w:sz w:val="22"/>
          <w:szCs w:val="22"/>
        </w:rPr>
        <w:t xml:space="preserve"> alımı için </w:t>
      </w:r>
      <w:r w:rsidR="007B547A" w:rsidRPr="007B547A">
        <w:rPr>
          <w:sz w:val="22"/>
          <w:szCs w:val="22"/>
        </w:rPr>
        <w:t>geri kalan 486.798.- TL diğer hizmet alımları</w:t>
      </w:r>
      <w:r w:rsidR="00041207">
        <w:rPr>
          <w:sz w:val="22"/>
          <w:szCs w:val="22"/>
        </w:rPr>
        <w:t xml:space="preserve"> (Temizlik Hizmet Alımı, Taşıt Kiralama vb.) </w:t>
      </w:r>
      <w:r w:rsidR="007B547A" w:rsidRPr="007B547A">
        <w:rPr>
          <w:sz w:val="22"/>
          <w:szCs w:val="22"/>
        </w:rPr>
        <w:t>için harcanmıştır.</w:t>
      </w:r>
      <w:r w:rsidR="00690804" w:rsidRPr="007B547A">
        <w:rPr>
          <w:sz w:val="22"/>
          <w:szCs w:val="22"/>
        </w:rPr>
        <w:t xml:space="preserve"> </w:t>
      </w:r>
    </w:p>
    <w:p w:rsidR="009434FB" w:rsidRPr="00041207" w:rsidRDefault="009434FB" w:rsidP="00041207">
      <w:pPr>
        <w:pStyle w:val="GvdeMetni"/>
        <w:ind w:firstLine="360"/>
        <w:jc w:val="both"/>
        <w:rPr>
          <w:sz w:val="22"/>
          <w:szCs w:val="22"/>
        </w:rPr>
      </w:pPr>
    </w:p>
    <w:p w:rsidR="009434FB" w:rsidRDefault="00AB5AEC" w:rsidP="00677251">
      <w:pPr>
        <w:pStyle w:val="GvdeMetni"/>
        <w:ind w:firstLine="708"/>
        <w:jc w:val="both"/>
        <w:rPr>
          <w:sz w:val="22"/>
          <w:szCs w:val="22"/>
        </w:rPr>
      </w:pPr>
      <w:r w:rsidRPr="005957A3">
        <w:rPr>
          <w:sz w:val="22"/>
          <w:szCs w:val="22"/>
        </w:rPr>
        <w:t xml:space="preserve">05.3 Kar Amacı Gütmeyen Kuruluşlara Yapılan Transferler kalemindeki </w:t>
      </w:r>
      <w:r w:rsidR="009434FB">
        <w:rPr>
          <w:sz w:val="22"/>
          <w:szCs w:val="22"/>
        </w:rPr>
        <w:t>2</w:t>
      </w:r>
      <w:r w:rsidR="00041207">
        <w:rPr>
          <w:sz w:val="22"/>
          <w:szCs w:val="22"/>
        </w:rPr>
        <w:t>3.360.532</w:t>
      </w:r>
      <w:r w:rsidRPr="005957A3">
        <w:rPr>
          <w:sz w:val="22"/>
          <w:szCs w:val="22"/>
        </w:rPr>
        <w:t>.-TL sapmanı</w:t>
      </w:r>
      <w:r w:rsidR="00823C01">
        <w:rPr>
          <w:sz w:val="22"/>
          <w:szCs w:val="22"/>
        </w:rPr>
        <w:t>n sebebi ise</w:t>
      </w:r>
      <w:r w:rsidRPr="005957A3">
        <w:rPr>
          <w:sz w:val="22"/>
          <w:szCs w:val="22"/>
        </w:rPr>
        <w:t xml:space="preserve"> kurulumuz tarafından yürütülen “</w:t>
      </w:r>
      <w:proofErr w:type="spellStart"/>
      <w:r w:rsidRPr="005957A3">
        <w:rPr>
          <w:sz w:val="22"/>
          <w:szCs w:val="22"/>
        </w:rPr>
        <w:t>Farabi</w:t>
      </w:r>
      <w:proofErr w:type="spellEnd"/>
      <w:r w:rsidRPr="005957A3">
        <w:rPr>
          <w:sz w:val="22"/>
          <w:szCs w:val="22"/>
        </w:rPr>
        <w:t xml:space="preserve"> Değişim Programı” ve “Öğretim </w:t>
      </w:r>
      <w:r w:rsidR="008C7536">
        <w:rPr>
          <w:sz w:val="22"/>
          <w:szCs w:val="22"/>
        </w:rPr>
        <w:t>Üyesi Yetiştirme Programı” için yapılan transferlerdir.</w:t>
      </w:r>
      <w:r w:rsidR="009434FB">
        <w:rPr>
          <w:sz w:val="22"/>
          <w:szCs w:val="22"/>
        </w:rPr>
        <w:t xml:space="preserve"> </w:t>
      </w:r>
    </w:p>
    <w:p w:rsidR="009434FB" w:rsidRDefault="009434FB" w:rsidP="00041207">
      <w:pPr>
        <w:pStyle w:val="GvdeMetni"/>
        <w:ind w:firstLine="360"/>
        <w:jc w:val="both"/>
        <w:rPr>
          <w:sz w:val="22"/>
          <w:szCs w:val="22"/>
        </w:rPr>
      </w:pPr>
    </w:p>
    <w:p w:rsidR="005957A3" w:rsidRDefault="00AB5AEC" w:rsidP="00677251">
      <w:pPr>
        <w:pStyle w:val="GvdeMetni"/>
        <w:ind w:firstLine="708"/>
        <w:jc w:val="both"/>
        <w:rPr>
          <w:sz w:val="22"/>
          <w:szCs w:val="22"/>
        </w:rPr>
      </w:pPr>
      <w:r w:rsidRPr="005957A3">
        <w:rPr>
          <w:sz w:val="22"/>
          <w:szCs w:val="22"/>
        </w:rPr>
        <w:t xml:space="preserve">05.4 Hane Halkına Yapılan Transferler kalemindeki </w:t>
      </w:r>
      <w:r w:rsidR="00041207">
        <w:rPr>
          <w:sz w:val="22"/>
          <w:szCs w:val="22"/>
        </w:rPr>
        <w:t>19.247.017</w:t>
      </w:r>
      <w:r w:rsidR="008C7536">
        <w:rPr>
          <w:sz w:val="22"/>
          <w:szCs w:val="22"/>
        </w:rPr>
        <w:t>.-TL sapmanın sebebi</w:t>
      </w:r>
      <w:r w:rsidRPr="005957A3">
        <w:rPr>
          <w:sz w:val="22"/>
          <w:szCs w:val="22"/>
        </w:rPr>
        <w:t xml:space="preserve"> </w:t>
      </w:r>
      <w:r w:rsidR="009434FB" w:rsidRPr="00041207">
        <w:rPr>
          <w:sz w:val="22"/>
          <w:szCs w:val="22"/>
        </w:rPr>
        <w:t xml:space="preserve">2547 sayılı Yükseköğretim </w:t>
      </w:r>
      <w:proofErr w:type="gramStart"/>
      <w:r w:rsidR="009434FB" w:rsidRPr="00041207">
        <w:rPr>
          <w:sz w:val="22"/>
          <w:szCs w:val="22"/>
        </w:rPr>
        <w:t>Kanunu’nun  39</w:t>
      </w:r>
      <w:proofErr w:type="gramEnd"/>
      <w:r w:rsidR="009434FB" w:rsidRPr="00041207">
        <w:rPr>
          <w:sz w:val="22"/>
          <w:szCs w:val="22"/>
        </w:rPr>
        <w:t xml:space="preserve"> uncu maddesi uyarınca; yurtdışında alanında inceleme ve araştırma yapmak üzere Başkanlığımız tarafından sağlanan Yüksek Lisans Araştırma Desteği, Doktora Araştırma Desteği, Doktora Sonrası Araştırma Desteği’nden yararlanan öğretim üyeleri için Üniversitelerimize aktarılan </w:t>
      </w:r>
      <w:r w:rsidRPr="005957A3">
        <w:rPr>
          <w:sz w:val="22"/>
          <w:szCs w:val="22"/>
        </w:rPr>
        <w:t>kaynak</w:t>
      </w:r>
      <w:r w:rsidR="009434FB">
        <w:rPr>
          <w:sz w:val="22"/>
          <w:szCs w:val="22"/>
        </w:rPr>
        <w:t xml:space="preserve"> tutarıdır.</w:t>
      </w:r>
      <w:r w:rsidRPr="005957A3">
        <w:rPr>
          <w:sz w:val="22"/>
          <w:szCs w:val="22"/>
        </w:rPr>
        <w:t xml:space="preserve"> </w:t>
      </w:r>
      <w:proofErr w:type="gramStart"/>
      <w:r w:rsidRPr="005957A3">
        <w:rPr>
          <w:sz w:val="22"/>
          <w:szCs w:val="22"/>
        </w:rPr>
        <w:t xml:space="preserve">Söz konusu kaynak aktarımı, 2547 sayılı </w:t>
      </w:r>
      <w:r w:rsidR="005957A3" w:rsidRPr="005957A3">
        <w:rPr>
          <w:sz w:val="22"/>
          <w:szCs w:val="22"/>
        </w:rPr>
        <w:t>Yükseköğretim Kanunu’nun 7.maddesin</w:t>
      </w:r>
      <w:r w:rsidR="008C7536">
        <w:rPr>
          <w:sz w:val="22"/>
          <w:szCs w:val="22"/>
        </w:rPr>
        <w:t xml:space="preserve">in (a) bendinde; </w:t>
      </w:r>
      <w:r w:rsidR="005957A3" w:rsidRPr="00041207">
        <w:rPr>
          <w:sz w:val="22"/>
          <w:szCs w:val="22"/>
        </w:rPr>
        <w:t>Yükseköğretim kurumlarının bu Kanunda belirlenen amaç, hedef ve ilkeler doğrultusunda kurulması, geliştirilmesi, eğitim - öğretim faaliyetlerinin gerçekleştirilmesi ve yükseköğretim alanlarının ihtiyaç duyduğu öğretim elemanlarının yurt içinde ve yurt dışında yetiştirilmesi için kısa ve uzun vadeli planlar hazırlamak, üniversitelere tahsis edilen kaynakların, bu plan ve programlar çerçevesinde etkili bir biçimde kullanılmasını gözetim ve denetim altında bulundurmaktır”</w:t>
      </w:r>
      <w:r w:rsidR="005957A3" w:rsidRPr="008C7536">
        <w:rPr>
          <w:sz w:val="22"/>
          <w:szCs w:val="22"/>
        </w:rPr>
        <w:t xml:space="preserve"> hükmü gereğince yapılmaktadır.</w:t>
      </w:r>
      <w:proofErr w:type="gramEnd"/>
    </w:p>
    <w:p w:rsidR="00B033EC" w:rsidRPr="008C7536" w:rsidRDefault="00B033EC" w:rsidP="00041207">
      <w:pPr>
        <w:pStyle w:val="GvdeMetni"/>
        <w:ind w:firstLine="360"/>
        <w:jc w:val="both"/>
        <w:rPr>
          <w:sz w:val="22"/>
          <w:szCs w:val="22"/>
        </w:rPr>
      </w:pPr>
    </w:p>
    <w:p w:rsidR="005957A3" w:rsidRPr="005957A3" w:rsidRDefault="005957A3" w:rsidP="00677251">
      <w:pPr>
        <w:pStyle w:val="GvdeMetni"/>
        <w:ind w:firstLine="708"/>
        <w:jc w:val="both"/>
        <w:rPr>
          <w:sz w:val="22"/>
          <w:szCs w:val="22"/>
        </w:rPr>
      </w:pPr>
      <w:r w:rsidRPr="005957A3">
        <w:rPr>
          <w:sz w:val="22"/>
          <w:szCs w:val="22"/>
        </w:rPr>
        <w:t>28.06.2008 Tarih ve 26920 sayılı Resmi Gazete’de yayımlanarak yürürlüğe giren 5772 sayılı Yükseköğretim Kanununda Değişiklik Yapılmasına Dair Kanun’un 1 inci maddesinde;</w:t>
      </w:r>
    </w:p>
    <w:p w:rsidR="00677251" w:rsidRDefault="00677251" w:rsidP="00677251">
      <w:pPr>
        <w:pStyle w:val="GvdeMetni"/>
        <w:ind w:firstLine="708"/>
        <w:jc w:val="both"/>
        <w:rPr>
          <w:sz w:val="22"/>
          <w:szCs w:val="22"/>
        </w:rPr>
      </w:pPr>
    </w:p>
    <w:p w:rsidR="005957A3" w:rsidRDefault="005957A3" w:rsidP="00677251">
      <w:pPr>
        <w:pStyle w:val="GvdeMetni"/>
        <w:ind w:firstLine="708"/>
        <w:jc w:val="both"/>
        <w:rPr>
          <w:sz w:val="22"/>
          <w:szCs w:val="22"/>
        </w:rPr>
      </w:pPr>
      <w:r w:rsidRPr="00041207">
        <w:rPr>
          <w:sz w:val="22"/>
          <w:szCs w:val="22"/>
        </w:rPr>
        <w:t>“Öğrenci Seçme ve Yerleştirme Merkezinin önceki yıldan devreden finansman fazlasının % 25’i her yıl şubat ayı sonuna kadar Yükseköğretim Kurulu hesabına aktarılır. Aktarılan bu tutarı, bir yandan Yükseköğretim Kurulu bütçesinin (B) işaretli cetveline öz gelir, diğer yandan (A) işaretli cetvelin mevcut veya yeni açılacak tertiplerine ödenek olarak eklemeye Yükseköğretim Kurulu yetkilidir. Sermaye ödenekleri, yılı yatırım programı ile ilişkilendirilir.</w:t>
      </w:r>
    </w:p>
    <w:p w:rsidR="00677251" w:rsidRPr="00041207" w:rsidRDefault="00677251" w:rsidP="00677251">
      <w:pPr>
        <w:pStyle w:val="GvdeMetni"/>
        <w:ind w:firstLine="708"/>
        <w:jc w:val="both"/>
        <w:rPr>
          <w:sz w:val="22"/>
          <w:szCs w:val="22"/>
        </w:rPr>
      </w:pPr>
    </w:p>
    <w:p w:rsidR="005957A3" w:rsidRPr="00041207" w:rsidRDefault="005957A3" w:rsidP="00677251">
      <w:pPr>
        <w:pStyle w:val="GvdeMetni"/>
        <w:ind w:firstLine="708"/>
        <w:jc w:val="both"/>
        <w:rPr>
          <w:sz w:val="22"/>
          <w:szCs w:val="22"/>
        </w:rPr>
      </w:pPr>
      <w:proofErr w:type="gramStart"/>
      <w:r w:rsidRPr="00041207">
        <w:rPr>
          <w:sz w:val="22"/>
          <w:szCs w:val="22"/>
        </w:rPr>
        <w:t>Ödenek kaydedilen tutarlar, öncelikle yükseköğretim kurumlarının bilimsel araştırma projeleri ile yurt içi ve yurt dışı öğretim elemanı ve öğrenci değişim programlarının desteklenmesi, yurt içi ve yurt dışında öğretim üyesi ve araştırmacı yetiştirilmesi ile Yükseköğretim Kurulunun fiziki ve beşeri altyapısının güçlendirilmesi amacıyla kullanılır” h</w:t>
      </w:r>
      <w:r w:rsidR="005D47DD" w:rsidRPr="00041207">
        <w:rPr>
          <w:sz w:val="22"/>
          <w:szCs w:val="22"/>
        </w:rPr>
        <w:t>ükmü gereğince</w:t>
      </w:r>
      <w:r w:rsidRPr="00041207">
        <w:rPr>
          <w:sz w:val="22"/>
          <w:szCs w:val="22"/>
        </w:rPr>
        <w:t xml:space="preserve">, </w:t>
      </w:r>
      <w:r w:rsidR="00B033EC">
        <w:rPr>
          <w:sz w:val="22"/>
          <w:szCs w:val="22"/>
        </w:rPr>
        <w:t xml:space="preserve">yukarıda bahsi geçen </w:t>
      </w:r>
      <w:r w:rsidRPr="00041207">
        <w:rPr>
          <w:sz w:val="22"/>
          <w:szCs w:val="22"/>
        </w:rPr>
        <w:t>kaynak aktarım</w:t>
      </w:r>
      <w:r w:rsidR="00B033EC">
        <w:rPr>
          <w:sz w:val="22"/>
          <w:szCs w:val="22"/>
        </w:rPr>
        <w:t>larının</w:t>
      </w:r>
      <w:r w:rsidRPr="00041207">
        <w:rPr>
          <w:sz w:val="22"/>
          <w:szCs w:val="22"/>
        </w:rPr>
        <w:t xml:space="preserve"> finansmanı sağlanmaktadır. </w:t>
      </w:r>
      <w:proofErr w:type="gramEnd"/>
    </w:p>
    <w:p w:rsidR="0089084D" w:rsidRPr="005957A3" w:rsidRDefault="0089084D" w:rsidP="00677251">
      <w:pPr>
        <w:pStyle w:val="GvdeMetni"/>
        <w:ind w:firstLine="709"/>
        <w:jc w:val="both"/>
        <w:rPr>
          <w:sz w:val="22"/>
          <w:szCs w:val="22"/>
        </w:rPr>
      </w:pPr>
    </w:p>
    <w:p w:rsidR="0089084D" w:rsidRPr="005957A3" w:rsidRDefault="00D379CD" w:rsidP="00D379CD">
      <w:pPr>
        <w:pStyle w:val="GvdeMetni"/>
        <w:spacing w:before="120" w:after="120" w:line="312" w:lineRule="auto"/>
        <w:ind w:right="-288" w:firstLine="708"/>
        <w:jc w:val="both"/>
        <w:rPr>
          <w:b/>
          <w:sz w:val="22"/>
          <w:szCs w:val="22"/>
        </w:rPr>
      </w:pPr>
      <w:r w:rsidRPr="005957A3">
        <w:rPr>
          <w:b/>
          <w:sz w:val="22"/>
          <w:szCs w:val="22"/>
        </w:rPr>
        <w:lastRenderedPageBreak/>
        <w:t xml:space="preserve">B. </w:t>
      </w:r>
      <w:r w:rsidR="0089084D" w:rsidRPr="005957A3">
        <w:rPr>
          <w:b/>
          <w:sz w:val="22"/>
          <w:szCs w:val="22"/>
        </w:rPr>
        <w:t>Bütçe Gelirleri</w:t>
      </w:r>
    </w:p>
    <w:p w:rsidR="0033737C" w:rsidRPr="005D47DD" w:rsidRDefault="004C44FF" w:rsidP="0033737C">
      <w:pPr>
        <w:pStyle w:val="GvdeMetni"/>
        <w:spacing w:before="120" w:after="120" w:line="312" w:lineRule="auto"/>
        <w:ind w:right="-2" w:firstLine="708"/>
        <w:jc w:val="both"/>
        <w:rPr>
          <w:b/>
          <w:sz w:val="22"/>
          <w:szCs w:val="22"/>
        </w:rPr>
      </w:pPr>
      <w:r w:rsidRPr="005957A3">
        <w:rPr>
          <w:sz w:val="22"/>
          <w:szCs w:val="22"/>
        </w:rPr>
        <w:t>201</w:t>
      </w:r>
      <w:r w:rsidR="005D47DD">
        <w:rPr>
          <w:sz w:val="22"/>
          <w:szCs w:val="22"/>
        </w:rPr>
        <w:t>2</w:t>
      </w:r>
      <w:r w:rsidR="0089084D" w:rsidRPr="005957A3">
        <w:rPr>
          <w:sz w:val="22"/>
          <w:szCs w:val="22"/>
        </w:rPr>
        <w:t xml:space="preserve"> Mali yılı Ocak-Haziran dönemi itibariyle bütçe g</w:t>
      </w:r>
      <w:r w:rsidRPr="005957A3">
        <w:rPr>
          <w:sz w:val="22"/>
          <w:szCs w:val="22"/>
        </w:rPr>
        <w:t xml:space="preserve">elirleri toplam </w:t>
      </w:r>
      <w:r w:rsidR="00693AE7">
        <w:rPr>
          <w:sz w:val="22"/>
          <w:szCs w:val="22"/>
        </w:rPr>
        <w:t>25.319.645</w:t>
      </w:r>
      <w:r w:rsidRPr="005957A3">
        <w:rPr>
          <w:sz w:val="22"/>
          <w:szCs w:val="22"/>
        </w:rPr>
        <w:t xml:space="preserve">.-TL </w:t>
      </w:r>
      <w:r w:rsidR="0089084D" w:rsidRPr="005957A3">
        <w:rPr>
          <w:sz w:val="22"/>
          <w:szCs w:val="22"/>
        </w:rPr>
        <w:t xml:space="preserve">olarak gerçekleşmiş olup, </w:t>
      </w:r>
      <w:r w:rsidR="00BA4955">
        <w:rPr>
          <w:sz w:val="22"/>
          <w:szCs w:val="22"/>
        </w:rPr>
        <w:t>a</w:t>
      </w:r>
      <w:r w:rsidR="0089084D" w:rsidRPr="005957A3">
        <w:rPr>
          <w:sz w:val="22"/>
          <w:szCs w:val="22"/>
        </w:rPr>
        <w:t>ynı döneme ait ekonomik sınıflandırmanın bir</w:t>
      </w:r>
      <w:r w:rsidR="00210805" w:rsidRPr="005957A3">
        <w:rPr>
          <w:sz w:val="22"/>
          <w:szCs w:val="22"/>
        </w:rPr>
        <w:t>inci düzeyinde yer alan gelir g</w:t>
      </w:r>
      <w:r w:rsidR="0089084D" w:rsidRPr="005957A3">
        <w:rPr>
          <w:sz w:val="22"/>
          <w:szCs w:val="22"/>
        </w:rPr>
        <w:t xml:space="preserve">rupları itibariyle </w:t>
      </w:r>
      <w:r w:rsidR="00B1279F">
        <w:rPr>
          <w:sz w:val="22"/>
          <w:szCs w:val="22"/>
        </w:rPr>
        <w:t xml:space="preserve">bütçeye yansıyan </w:t>
      </w:r>
      <w:r w:rsidR="0089084D" w:rsidRPr="005957A3">
        <w:rPr>
          <w:sz w:val="22"/>
          <w:szCs w:val="22"/>
        </w:rPr>
        <w:t>gerçekleşme rakamları ve gelirlerin g</w:t>
      </w:r>
      <w:r w:rsidR="005D47DD">
        <w:rPr>
          <w:sz w:val="22"/>
          <w:szCs w:val="22"/>
        </w:rPr>
        <w:t xml:space="preserve">elişimine ait tablo raporun </w:t>
      </w:r>
      <w:r w:rsidR="0089084D" w:rsidRPr="005957A3">
        <w:rPr>
          <w:sz w:val="22"/>
          <w:szCs w:val="22"/>
        </w:rPr>
        <w:t>ekinde yer almaktadır.</w:t>
      </w:r>
      <w:r w:rsidR="005D47DD">
        <w:rPr>
          <w:sz w:val="22"/>
          <w:szCs w:val="22"/>
        </w:rPr>
        <w:t xml:space="preserve"> </w:t>
      </w:r>
      <w:r w:rsidR="005D47DD" w:rsidRPr="005D47DD">
        <w:rPr>
          <w:b/>
          <w:sz w:val="22"/>
          <w:szCs w:val="22"/>
        </w:rPr>
        <w:t>(EK: 2)</w:t>
      </w:r>
    </w:p>
    <w:p w:rsidR="00FE7C01" w:rsidRPr="0033737C" w:rsidRDefault="00FE7C01" w:rsidP="0033737C">
      <w:pPr>
        <w:pStyle w:val="GvdeMetni"/>
        <w:spacing w:before="120" w:after="120" w:line="312" w:lineRule="auto"/>
        <w:ind w:right="-2" w:firstLine="708"/>
        <w:jc w:val="both"/>
        <w:rPr>
          <w:sz w:val="22"/>
          <w:szCs w:val="22"/>
        </w:rPr>
      </w:pPr>
    </w:p>
    <w:p w:rsidR="00E67545" w:rsidRPr="005957A3" w:rsidRDefault="0088762B" w:rsidP="00D379CD">
      <w:pPr>
        <w:pStyle w:val="GvdeMetni"/>
        <w:spacing w:before="120" w:after="120" w:line="312" w:lineRule="auto"/>
        <w:ind w:right="-2" w:firstLine="708"/>
        <w:jc w:val="both"/>
        <w:rPr>
          <w:b/>
          <w:sz w:val="22"/>
          <w:szCs w:val="22"/>
        </w:rPr>
      </w:pPr>
      <w:r w:rsidRPr="005957A3">
        <w:rPr>
          <w:b/>
          <w:sz w:val="22"/>
          <w:szCs w:val="22"/>
        </w:rPr>
        <w:t>II- OCAK-HAZİ</w:t>
      </w:r>
      <w:r w:rsidR="00E67545" w:rsidRPr="005957A3">
        <w:rPr>
          <w:b/>
          <w:sz w:val="22"/>
          <w:szCs w:val="22"/>
        </w:rPr>
        <w:t xml:space="preserve">RAN </w:t>
      </w:r>
      <w:r w:rsidR="00AA335D" w:rsidRPr="005957A3">
        <w:rPr>
          <w:b/>
          <w:sz w:val="22"/>
          <w:szCs w:val="22"/>
        </w:rPr>
        <w:t>20</w:t>
      </w:r>
      <w:r w:rsidR="00210805" w:rsidRPr="005957A3">
        <w:rPr>
          <w:b/>
          <w:sz w:val="22"/>
          <w:szCs w:val="22"/>
        </w:rPr>
        <w:t>1</w:t>
      </w:r>
      <w:r w:rsidR="005D47DD">
        <w:rPr>
          <w:b/>
          <w:sz w:val="22"/>
          <w:szCs w:val="22"/>
        </w:rPr>
        <w:t>2</w:t>
      </w:r>
      <w:r w:rsidR="00AA335D" w:rsidRPr="005957A3">
        <w:rPr>
          <w:b/>
          <w:sz w:val="22"/>
          <w:szCs w:val="22"/>
        </w:rPr>
        <w:t xml:space="preserve"> </w:t>
      </w:r>
      <w:r w:rsidRPr="005957A3">
        <w:rPr>
          <w:b/>
          <w:sz w:val="22"/>
          <w:szCs w:val="22"/>
        </w:rPr>
        <w:t>DÖNEMİNDE YÜRÜ</w:t>
      </w:r>
      <w:r w:rsidR="00E67545" w:rsidRPr="005957A3">
        <w:rPr>
          <w:b/>
          <w:sz w:val="22"/>
          <w:szCs w:val="22"/>
        </w:rPr>
        <w:t>TÜLEN FAALİYETLER</w:t>
      </w:r>
    </w:p>
    <w:p w:rsidR="00853CCC" w:rsidRDefault="00853CCC" w:rsidP="00D379CD">
      <w:pPr>
        <w:pStyle w:val="GvdeMetni"/>
        <w:spacing w:before="120" w:after="120" w:line="312" w:lineRule="auto"/>
        <w:ind w:right="-2" w:firstLine="708"/>
        <w:jc w:val="both"/>
        <w:rPr>
          <w:sz w:val="22"/>
          <w:szCs w:val="22"/>
        </w:rPr>
      </w:pPr>
      <w:r w:rsidRPr="005957A3">
        <w:rPr>
          <w:sz w:val="22"/>
          <w:szCs w:val="22"/>
        </w:rPr>
        <w:t xml:space="preserve">Yükseköğretim Kurulu, 2547 sayılı Kanunda belirlenen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Pr>
          <w:sz w:val="22"/>
          <w:szCs w:val="22"/>
        </w:rPr>
        <w:t>kurumsal anlamda yürütülen faaliyetlere bu dönem içerisinde de devam edilmiştir.</w:t>
      </w:r>
    </w:p>
    <w:p w:rsidR="00677251" w:rsidRDefault="00677251" w:rsidP="00D379CD">
      <w:pPr>
        <w:pStyle w:val="GvdeMetni"/>
        <w:spacing w:before="120" w:after="120" w:line="312" w:lineRule="auto"/>
        <w:ind w:right="-2" w:firstLine="708"/>
        <w:jc w:val="both"/>
        <w:rPr>
          <w:sz w:val="22"/>
          <w:szCs w:val="22"/>
        </w:rPr>
      </w:pPr>
    </w:p>
    <w:p w:rsidR="00E67545" w:rsidRPr="005957A3" w:rsidRDefault="00E67545" w:rsidP="00D379CD">
      <w:pPr>
        <w:pStyle w:val="GvdeMetni"/>
        <w:numPr>
          <w:ilvl w:val="0"/>
          <w:numId w:val="4"/>
        </w:numPr>
        <w:spacing w:before="120" w:after="120" w:line="312" w:lineRule="auto"/>
        <w:ind w:left="1134" w:right="-2" w:hanging="425"/>
        <w:jc w:val="both"/>
        <w:rPr>
          <w:b/>
          <w:sz w:val="22"/>
          <w:szCs w:val="22"/>
        </w:rPr>
      </w:pPr>
      <w:r w:rsidRPr="005957A3">
        <w:rPr>
          <w:b/>
          <w:sz w:val="22"/>
          <w:szCs w:val="22"/>
        </w:rPr>
        <w:t>TEMMUZ-ARALIK 20</w:t>
      </w:r>
      <w:r w:rsidR="00210805" w:rsidRPr="005957A3">
        <w:rPr>
          <w:b/>
          <w:sz w:val="22"/>
          <w:szCs w:val="22"/>
        </w:rPr>
        <w:t>1</w:t>
      </w:r>
      <w:r w:rsidR="005D47DD">
        <w:rPr>
          <w:b/>
          <w:sz w:val="22"/>
          <w:szCs w:val="22"/>
        </w:rPr>
        <w:t>2</w:t>
      </w:r>
      <w:r w:rsidRPr="005957A3">
        <w:rPr>
          <w:b/>
          <w:sz w:val="22"/>
          <w:szCs w:val="22"/>
        </w:rPr>
        <w:t xml:space="preserve"> DÖNEMİNE İLİŞKİN</w:t>
      </w:r>
      <w:r w:rsidR="00562D90" w:rsidRPr="005957A3">
        <w:rPr>
          <w:b/>
          <w:sz w:val="22"/>
          <w:szCs w:val="22"/>
        </w:rPr>
        <w:t xml:space="preserve"> </w:t>
      </w:r>
      <w:r w:rsidRPr="005957A3">
        <w:rPr>
          <w:b/>
          <w:sz w:val="22"/>
          <w:szCs w:val="22"/>
        </w:rPr>
        <w:t>BEKLENT</w:t>
      </w:r>
      <w:r w:rsidR="00A80767" w:rsidRPr="005957A3">
        <w:rPr>
          <w:b/>
          <w:sz w:val="22"/>
          <w:szCs w:val="22"/>
        </w:rPr>
        <w:t>İLER VE</w:t>
      </w:r>
      <w:r w:rsidR="00210805" w:rsidRPr="005957A3">
        <w:rPr>
          <w:b/>
          <w:sz w:val="22"/>
          <w:szCs w:val="22"/>
        </w:rPr>
        <w:t xml:space="preserve"> </w:t>
      </w:r>
      <w:r w:rsidRPr="005957A3">
        <w:rPr>
          <w:b/>
          <w:sz w:val="22"/>
          <w:szCs w:val="22"/>
        </w:rPr>
        <w:t>HEDEFLER</w:t>
      </w:r>
    </w:p>
    <w:p w:rsidR="00D379CD" w:rsidRPr="005957A3" w:rsidRDefault="00D379CD" w:rsidP="00F83E9D">
      <w:pPr>
        <w:pStyle w:val="GvdeMetni"/>
        <w:spacing w:before="120" w:after="120" w:line="312" w:lineRule="auto"/>
        <w:ind w:right="-2"/>
        <w:jc w:val="both"/>
        <w:rPr>
          <w:sz w:val="22"/>
          <w:szCs w:val="22"/>
        </w:rPr>
      </w:pPr>
    </w:p>
    <w:p w:rsidR="00FE7C01" w:rsidRDefault="00210805" w:rsidP="000172C6">
      <w:pPr>
        <w:pStyle w:val="GvdeMetni"/>
        <w:spacing w:before="120" w:after="120" w:line="312" w:lineRule="auto"/>
        <w:ind w:right="-2" w:firstLine="708"/>
        <w:jc w:val="both"/>
        <w:rPr>
          <w:sz w:val="22"/>
          <w:szCs w:val="22"/>
        </w:rPr>
      </w:pPr>
      <w:r w:rsidRPr="005957A3">
        <w:rPr>
          <w:sz w:val="22"/>
          <w:szCs w:val="22"/>
        </w:rPr>
        <w:t>Kurulumuz 201</w:t>
      </w:r>
      <w:r w:rsidR="00693AE7">
        <w:rPr>
          <w:sz w:val="22"/>
          <w:szCs w:val="22"/>
        </w:rPr>
        <w:t>2</w:t>
      </w:r>
      <w:r w:rsidR="00853CCC" w:rsidRPr="005957A3">
        <w:rPr>
          <w:sz w:val="22"/>
          <w:szCs w:val="22"/>
        </w:rPr>
        <w:t xml:space="preserve"> </w:t>
      </w:r>
      <w:r w:rsidR="003D4B2D">
        <w:rPr>
          <w:sz w:val="22"/>
          <w:szCs w:val="22"/>
        </w:rPr>
        <w:t>Mali yılı Temmuz-Aralık döneminde de, yukarıda açıklanan sebepler göz önünde bulundurulduğunda,</w:t>
      </w:r>
      <w:r w:rsidR="003D4B2D" w:rsidRPr="003D4B2D">
        <w:rPr>
          <w:sz w:val="22"/>
          <w:szCs w:val="22"/>
        </w:rPr>
        <w:t xml:space="preserve"> </w:t>
      </w:r>
      <w:r w:rsidR="003D4B2D" w:rsidRPr="005957A3">
        <w:rPr>
          <w:sz w:val="22"/>
          <w:szCs w:val="22"/>
        </w:rPr>
        <w:t>rapor ekinde yer alan (1) ve (2) no.</w:t>
      </w:r>
      <w:r w:rsidR="003D4B2D">
        <w:rPr>
          <w:sz w:val="22"/>
          <w:szCs w:val="22"/>
        </w:rPr>
        <w:t>lu tablolarda gösterilen ilk altı aylık gelir ve gider gelişimlerinin büyük bir farklılık göstermey</w:t>
      </w:r>
      <w:r w:rsidR="005541B6">
        <w:rPr>
          <w:sz w:val="22"/>
          <w:szCs w:val="22"/>
        </w:rPr>
        <w:t xml:space="preserve">eceği tahmin edilmektedir. Ancak, şu anda ekli </w:t>
      </w:r>
      <w:r w:rsidR="005541B6" w:rsidRPr="005957A3">
        <w:rPr>
          <w:sz w:val="22"/>
          <w:szCs w:val="22"/>
        </w:rPr>
        <w:t>(2) no.lu</w:t>
      </w:r>
      <w:r w:rsidR="005541B6">
        <w:rPr>
          <w:sz w:val="22"/>
          <w:szCs w:val="22"/>
        </w:rPr>
        <w:t xml:space="preserve"> tabloda görünmeyen ÖSYM finansman fazlasından aktarılan nakit, ikinci altı aylık </w:t>
      </w:r>
      <w:proofErr w:type="spellStart"/>
      <w:r w:rsidR="005541B6">
        <w:rPr>
          <w:sz w:val="22"/>
          <w:szCs w:val="22"/>
        </w:rPr>
        <w:t>dönem</w:t>
      </w:r>
      <w:r w:rsidR="00B033EC">
        <w:rPr>
          <w:sz w:val="22"/>
          <w:szCs w:val="22"/>
        </w:rPr>
        <w:t>e</w:t>
      </w:r>
      <w:r w:rsidR="005541B6">
        <w:rPr>
          <w:sz w:val="22"/>
          <w:szCs w:val="22"/>
        </w:rPr>
        <w:t>de</w:t>
      </w:r>
      <w:proofErr w:type="spellEnd"/>
      <w:r w:rsidR="005541B6">
        <w:rPr>
          <w:sz w:val="22"/>
          <w:szCs w:val="22"/>
        </w:rPr>
        <w:t xml:space="preserve"> yansıyacaktır.</w:t>
      </w:r>
    </w:p>
    <w:p w:rsidR="00853CCC" w:rsidRPr="005957A3" w:rsidRDefault="00853CCC" w:rsidP="001A3E36">
      <w:pPr>
        <w:pStyle w:val="GvdeMetni"/>
        <w:spacing w:before="120" w:after="120" w:line="312" w:lineRule="auto"/>
        <w:ind w:right="-2" w:firstLine="708"/>
        <w:jc w:val="both"/>
        <w:rPr>
          <w:sz w:val="22"/>
          <w:szCs w:val="22"/>
        </w:rPr>
      </w:pPr>
      <w:proofErr w:type="gramStart"/>
      <w:r w:rsidRPr="005957A3">
        <w:rPr>
          <w:sz w:val="22"/>
          <w:szCs w:val="22"/>
        </w:rPr>
        <w:t>2547 sayılı Yükseköğretim Kanunu’na 18.06.2008 t</w:t>
      </w:r>
      <w:r w:rsidR="00591DC8" w:rsidRPr="005957A3">
        <w:rPr>
          <w:sz w:val="22"/>
          <w:szCs w:val="22"/>
        </w:rPr>
        <w:t>arihli ve 5772 sayılı Kanun ile</w:t>
      </w:r>
      <w:r w:rsidRPr="005957A3">
        <w:rPr>
          <w:sz w:val="22"/>
          <w:szCs w:val="22"/>
        </w:rPr>
        <w:t xml:space="preserve"> eklenen 10 uncu maddesinin son fıkrasında yer alan hüküm gereğince, Kurulumuz bütçesine öz gelir olarak eklenmiş olan Öğrenci Seçm</w:t>
      </w:r>
      <w:r w:rsidR="00F4047E">
        <w:rPr>
          <w:sz w:val="22"/>
          <w:szCs w:val="22"/>
        </w:rPr>
        <w:t>e ve Yerleştirme Merkezinden</w:t>
      </w:r>
      <w:r w:rsidRPr="005957A3">
        <w:rPr>
          <w:sz w:val="22"/>
          <w:szCs w:val="22"/>
        </w:rPr>
        <w:t xml:space="preserve"> devreden finansman fazlası</w:t>
      </w:r>
      <w:r w:rsidR="00F4047E">
        <w:rPr>
          <w:sz w:val="22"/>
          <w:szCs w:val="22"/>
        </w:rPr>
        <w:t xml:space="preserve"> karşılığı tutarlardan</w:t>
      </w:r>
      <w:r w:rsidRPr="005957A3">
        <w:rPr>
          <w:sz w:val="22"/>
          <w:szCs w:val="22"/>
        </w:rPr>
        <w:t xml:space="preserve"> araştırma görevlilerinin yurtdışı doktora eğitimlerini desteklemek amacıyla yurtdışı bursu verilebilmesi için ilgili üniversitelere ihtiyaçları oranında aktarma yapılacaktır. </w:t>
      </w:r>
      <w:proofErr w:type="gramEnd"/>
    </w:p>
    <w:p w:rsidR="00F83E9D" w:rsidRPr="005957A3" w:rsidRDefault="00F83E9D" w:rsidP="00F83E9D">
      <w:pPr>
        <w:pStyle w:val="GvdeMetni"/>
        <w:spacing w:before="120" w:after="120" w:line="312" w:lineRule="auto"/>
        <w:ind w:right="-2"/>
        <w:jc w:val="both"/>
        <w:rPr>
          <w:sz w:val="22"/>
          <w:szCs w:val="22"/>
        </w:rPr>
      </w:pPr>
    </w:p>
    <w:p w:rsidR="00F83E9D" w:rsidRPr="005957A3" w:rsidRDefault="00F83E9D" w:rsidP="00F83E9D">
      <w:pPr>
        <w:pStyle w:val="GvdeMetni"/>
        <w:numPr>
          <w:ilvl w:val="0"/>
          <w:numId w:val="5"/>
        </w:numPr>
        <w:spacing w:before="120" w:after="120" w:line="312" w:lineRule="auto"/>
        <w:ind w:right="-2" w:hanging="295"/>
        <w:jc w:val="both"/>
        <w:rPr>
          <w:b/>
          <w:sz w:val="22"/>
          <w:szCs w:val="22"/>
        </w:rPr>
      </w:pPr>
      <w:r w:rsidRPr="005957A3">
        <w:rPr>
          <w:b/>
          <w:sz w:val="22"/>
          <w:szCs w:val="22"/>
        </w:rPr>
        <w:t>TEMMUZ-ARALIK 201</w:t>
      </w:r>
      <w:r w:rsidR="005D47DD">
        <w:rPr>
          <w:b/>
          <w:sz w:val="22"/>
          <w:szCs w:val="22"/>
        </w:rPr>
        <w:t>2</w:t>
      </w:r>
      <w:r w:rsidRPr="005957A3">
        <w:rPr>
          <w:b/>
          <w:sz w:val="22"/>
          <w:szCs w:val="22"/>
        </w:rPr>
        <w:t xml:space="preserve"> DÖNEMİNDE YÜRÜTÜLECEK FAALİYETLER</w:t>
      </w:r>
    </w:p>
    <w:p w:rsidR="00F83E9D" w:rsidRPr="005957A3" w:rsidRDefault="00F83E9D" w:rsidP="00F83E9D">
      <w:pPr>
        <w:pStyle w:val="GvdeMetni"/>
        <w:spacing w:before="120" w:after="120" w:line="312" w:lineRule="auto"/>
        <w:ind w:right="-2"/>
        <w:jc w:val="both"/>
        <w:rPr>
          <w:sz w:val="22"/>
          <w:szCs w:val="22"/>
        </w:rPr>
      </w:pP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853CCC" w:rsidRPr="005957A3" w:rsidRDefault="00853CCC" w:rsidP="00D379CD">
      <w:pPr>
        <w:pStyle w:val="GvdeMetni"/>
        <w:spacing w:before="120" w:after="120" w:line="312" w:lineRule="auto"/>
        <w:ind w:right="-2" w:firstLine="708"/>
        <w:jc w:val="both"/>
        <w:rPr>
          <w:sz w:val="22"/>
          <w:szCs w:val="22"/>
        </w:rPr>
      </w:pP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Ayrıca;</w:t>
      </w: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Kaliteli eğitim-öğretim sunan,</w:t>
      </w: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Bilimsel araştırma yapan,</w:t>
      </w: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lastRenderedPageBreak/>
        <w:t xml:space="preserve">- Teknolojik ve bilimsel gelişmelerin öncülüğünü yapan, </w:t>
      </w:r>
    </w:p>
    <w:p w:rsidR="00853CCC" w:rsidRPr="005957A3" w:rsidRDefault="00853CCC" w:rsidP="005F4FA8">
      <w:pPr>
        <w:pStyle w:val="GvdeMetni"/>
        <w:spacing w:before="120" w:after="120" w:line="312" w:lineRule="auto"/>
        <w:ind w:right="-2" w:firstLine="708"/>
        <w:jc w:val="both"/>
        <w:rPr>
          <w:sz w:val="22"/>
          <w:szCs w:val="22"/>
        </w:rPr>
      </w:pPr>
      <w:r w:rsidRPr="005957A3">
        <w:rPr>
          <w:sz w:val="22"/>
          <w:szCs w:val="22"/>
        </w:rPr>
        <w:t xml:space="preserve">- Toplumun ekonomik ve kültürel kalkınmasına katkıda bulunan, </w:t>
      </w:r>
    </w:p>
    <w:p w:rsidR="00D379CD" w:rsidRPr="005957A3" w:rsidRDefault="00853CCC" w:rsidP="005F4FA8">
      <w:pPr>
        <w:pStyle w:val="GvdeMetni"/>
        <w:spacing w:before="120" w:after="120" w:line="312" w:lineRule="auto"/>
        <w:ind w:right="-2" w:firstLine="708"/>
        <w:jc w:val="both"/>
        <w:rPr>
          <w:sz w:val="22"/>
          <w:szCs w:val="22"/>
        </w:rPr>
      </w:pPr>
      <w:r w:rsidRPr="005957A3">
        <w:rPr>
          <w:sz w:val="22"/>
          <w:szCs w:val="22"/>
        </w:rPr>
        <w:t>- Araştırma ve proje yürütücülüğü hizmet</w:t>
      </w:r>
      <w:r w:rsidR="005F4FA8" w:rsidRPr="005957A3">
        <w:rPr>
          <w:sz w:val="22"/>
          <w:szCs w:val="22"/>
        </w:rPr>
        <w:t xml:space="preserve">lerini en iyi şekilde </w:t>
      </w:r>
      <w:proofErr w:type="gramStart"/>
      <w:r w:rsidR="005F4FA8" w:rsidRPr="005957A3">
        <w:rPr>
          <w:sz w:val="22"/>
          <w:szCs w:val="22"/>
        </w:rPr>
        <w:t xml:space="preserve">sunan </w:t>
      </w:r>
      <w:r w:rsidR="00D379CD" w:rsidRPr="005957A3">
        <w:rPr>
          <w:sz w:val="22"/>
          <w:szCs w:val="22"/>
        </w:rPr>
        <w:t xml:space="preserve"> </w:t>
      </w:r>
      <w:r w:rsidRPr="005957A3">
        <w:rPr>
          <w:sz w:val="22"/>
          <w:szCs w:val="22"/>
        </w:rPr>
        <w:t>bir</w:t>
      </w:r>
      <w:proofErr w:type="gramEnd"/>
      <w:r w:rsidRPr="005957A3">
        <w:rPr>
          <w:sz w:val="22"/>
          <w:szCs w:val="22"/>
        </w:rPr>
        <w:t xml:space="preserve"> yükseköğretim sistemi oluşturulması,</w:t>
      </w:r>
    </w:p>
    <w:p w:rsidR="00853CCC" w:rsidRPr="005957A3" w:rsidRDefault="005F4FA8" w:rsidP="00D379CD">
      <w:pPr>
        <w:pStyle w:val="GvdeMetni"/>
        <w:spacing w:before="120" w:after="120" w:line="312" w:lineRule="auto"/>
        <w:ind w:right="-2" w:firstLine="708"/>
        <w:jc w:val="both"/>
        <w:rPr>
          <w:sz w:val="22"/>
          <w:szCs w:val="22"/>
        </w:rPr>
      </w:pPr>
      <w:r w:rsidRPr="005957A3">
        <w:rPr>
          <w:sz w:val="22"/>
          <w:szCs w:val="22"/>
        </w:rPr>
        <w:t xml:space="preserve"> -Y</w:t>
      </w:r>
      <w:r w:rsidR="00853CCC" w:rsidRPr="005957A3">
        <w:rPr>
          <w:sz w:val="22"/>
          <w:szCs w:val="22"/>
        </w:rPr>
        <w:t>ükseköğretim kurumlarında öğretim elemanı açığının giderilmesi ve üniversitelerin eğitim-öğretim bilimsel araştırma ve yayın faaliyetlerinin koordine edilmesi hedeflerimiz arasında yer almaktadır.</w:t>
      </w:r>
    </w:p>
    <w:p w:rsidR="00853CCC" w:rsidRPr="005957A3" w:rsidRDefault="00D379CD" w:rsidP="00D379CD">
      <w:pPr>
        <w:pStyle w:val="GvdeMetni"/>
        <w:spacing w:before="120" w:after="120" w:line="312" w:lineRule="auto"/>
        <w:ind w:right="-2" w:firstLine="708"/>
        <w:jc w:val="both"/>
        <w:rPr>
          <w:sz w:val="22"/>
          <w:szCs w:val="22"/>
        </w:rPr>
      </w:pPr>
      <w:r w:rsidRPr="005957A3">
        <w:rPr>
          <w:sz w:val="22"/>
          <w:szCs w:val="22"/>
        </w:rPr>
        <w:t xml:space="preserve">   </w:t>
      </w:r>
      <w:r w:rsidR="00853CCC" w:rsidRPr="005957A3">
        <w:rPr>
          <w:sz w:val="22"/>
          <w:szCs w:val="22"/>
        </w:rPr>
        <w:t>Kamuoyunun bilgisine sunulur.</w:t>
      </w:r>
      <w:r w:rsidR="00853CCC" w:rsidRPr="005957A3">
        <w:rPr>
          <w:sz w:val="22"/>
          <w:szCs w:val="22"/>
        </w:rPr>
        <w:tab/>
      </w:r>
      <w:r w:rsidR="00853CCC" w:rsidRPr="005957A3">
        <w:rPr>
          <w:sz w:val="22"/>
          <w:szCs w:val="22"/>
        </w:rPr>
        <w:tab/>
      </w:r>
    </w:p>
    <w:p w:rsidR="00677251" w:rsidRDefault="00853CCC" w:rsidP="00F83E9D">
      <w:pPr>
        <w:pStyle w:val="GvdeMetni"/>
        <w:spacing w:before="120" w:after="120" w:line="312" w:lineRule="auto"/>
        <w:ind w:right="-2" w:firstLine="708"/>
        <w:jc w:val="both"/>
        <w:rPr>
          <w:sz w:val="22"/>
          <w:szCs w:val="22"/>
        </w:rPr>
      </w:pPr>
      <w:r w:rsidRPr="005957A3">
        <w:rPr>
          <w:sz w:val="22"/>
          <w:szCs w:val="22"/>
        </w:rPr>
        <w:tab/>
      </w:r>
      <w:r w:rsidRPr="005957A3">
        <w:rPr>
          <w:sz w:val="22"/>
          <w:szCs w:val="22"/>
        </w:rPr>
        <w:tab/>
      </w:r>
      <w:r w:rsidRPr="005957A3">
        <w:rPr>
          <w:sz w:val="22"/>
          <w:szCs w:val="22"/>
        </w:rPr>
        <w:tab/>
      </w:r>
      <w:r w:rsidRPr="005957A3">
        <w:rPr>
          <w:sz w:val="22"/>
          <w:szCs w:val="22"/>
        </w:rPr>
        <w:tab/>
      </w: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677251" w:rsidRDefault="00677251" w:rsidP="00F83E9D">
      <w:pPr>
        <w:pStyle w:val="GvdeMetni"/>
        <w:spacing w:before="120" w:after="120" w:line="312" w:lineRule="auto"/>
        <w:ind w:right="-2" w:firstLine="708"/>
        <w:jc w:val="both"/>
        <w:rPr>
          <w:sz w:val="22"/>
          <w:szCs w:val="22"/>
        </w:rPr>
      </w:pPr>
    </w:p>
    <w:p w:rsidR="00853CCC" w:rsidRPr="005957A3" w:rsidRDefault="00853CCC" w:rsidP="00F83E9D">
      <w:pPr>
        <w:pStyle w:val="GvdeMetni"/>
        <w:spacing w:before="120" w:after="120" w:line="312" w:lineRule="auto"/>
        <w:ind w:right="-2" w:firstLine="708"/>
        <w:jc w:val="both"/>
        <w:rPr>
          <w:sz w:val="22"/>
          <w:szCs w:val="22"/>
        </w:rPr>
      </w:pP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p>
    <w:p w:rsidR="00853CCC" w:rsidRPr="005957A3" w:rsidRDefault="00853CCC" w:rsidP="00D379CD">
      <w:pPr>
        <w:pStyle w:val="GvdeMetni"/>
        <w:spacing w:before="120" w:after="120" w:line="312" w:lineRule="auto"/>
        <w:ind w:right="-2" w:firstLine="708"/>
        <w:jc w:val="both"/>
        <w:rPr>
          <w:sz w:val="22"/>
          <w:szCs w:val="22"/>
        </w:rPr>
      </w:pPr>
    </w:p>
    <w:p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EK: 1-Bütçe Giderlerinin Gelişimi Tablosu </w:t>
      </w:r>
    </w:p>
    <w:p w:rsidR="00853CCC" w:rsidRPr="005957A3" w:rsidRDefault="00787525" w:rsidP="00D379CD">
      <w:pPr>
        <w:pStyle w:val="GvdeMetni"/>
        <w:spacing w:before="120" w:after="120" w:line="312" w:lineRule="auto"/>
        <w:ind w:right="-2" w:firstLine="708"/>
        <w:jc w:val="both"/>
        <w:rPr>
          <w:sz w:val="22"/>
          <w:szCs w:val="22"/>
        </w:rPr>
      </w:pPr>
      <w:r w:rsidRPr="005957A3">
        <w:rPr>
          <w:sz w:val="22"/>
          <w:szCs w:val="22"/>
        </w:rPr>
        <w:t xml:space="preserve">       </w:t>
      </w:r>
      <w:r w:rsidR="00591DC8" w:rsidRPr="005957A3">
        <w:rPr>
          <w:sz w:val="22"/>
          <w:szCs w:val="22"/>
        </w:rPr>
        <w:t xml:space="preserve">2-Bütçe </w:t>
      </w:r>
      <w:r w:rsidR="00853CCC" w:rsidRPr="005957A3">
        <w:rPr>
          <w:sz w:val="22"/>
          <w:szCs w:val="22"/>
        </w:rPr>
        <w:t>Gelirlerinin Gelişimi Tablosu</w:t>
      </w:r>
    </w:p>
    <w:p w:rsidR="00853CCC" w:rsidRPr="005957A3" w:rsidRDefault="00853CCC" w:rsidP="00D379CD">
      <w:pPr>
        <w:pStyle w:val="GvdeMetni"/>
        <w:spacing w:before="120" w:after="120" w:line="312" w:lineRule="auto"/>
        <w:ind w:right="-2" w:firstLine="708"/>
        <w:jc w:val="both"/>
        <w:rPr>
          <w:sz w:val="22"/>
          <w:szCs w:val="22"/>
        </w:rPr>
      </w:pPr>
    </w:p>
    <w:sectPr w:rsidR="00853CCC" w:rsidRPr="005957A3" w:rsidSect="00D379CD">
      <w:footerReference w:type="even"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6F0" w:rsidRDefault="001F46F0">
      <w:r>
        <w:separator/>
      </w:r>
    </w:p>
  </w:endnote>
  <w:endnote w:type="continuationSeparator" w:id="0">
    <w:p w:rsidR="001F46F0" w:rsidRDefault="001F4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5" w:rsidRDefault="00320F21" w:rsidP="005057F5">
    <w:pPr>
      <w:pStyle w:val="Altbilgi"/>
      <w:framePr w:wrap="around" w:vAnchor="text" w:hAnchor="margin" w:xAlign="right" w:y="1"/>
      <w:rPr>
        <w:rStyle w:val="SayfaNumaras"/>
      </w:rPr>
    </w:pPr>
    <w:r>
      <w:rPr>
        <w:rStyle w:val="SayfaNumaras"/>
      </w:rPr>
      <w:fldChar w:fldCharType="begin"/>
    </w:r>
    <w:r w:rsidR="006F7635">
      <w:rPr>
        <w:rStyle w:val="SayfaNumaras"/>
      </w:rPr>
      <w:instrText xml:space="preserve">PAGE  </w:instrText>
    </w:r>
    <w:r>
      <w:rPr>
        <w:rStyle w:val="SayfaNumaras"/>
      </w:rPr>
      <w:fldChar w:fldCharType="end"/>
    </w:r>
  </w:p>
  <w:p w:rsidR="006F7635" w:rsidRDefault="006F7635" w:rsidP="006F763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5" w:rsidRDefault="00320F21" w:rsidP="005057F5">
    <w:pPr>
      <w:pStyle w:val="Altbilgi"/>
      <w:framePr w:wrap="around" w:vAnchor="text" w:hAnchor="margin" w:xAlign="right" w:y="1"/>
      <w:rPr>
        <w:rStyle w:val="SayfaNumaras"/>
      </w:rPr>
    </w:pPr>
    <w:r>
      <w:rPr>
        <w:rStyle w:val="SayfaNumaras"/>
      </w:rPr>
      <w:fldChar w:fldCharType="begin"/>
    </w:r>
    <w:r w:rsidR="006F7635">
      <w:rPr>
        <w:rStyle w:val="SayfaNumaras"/>
      </w:rPr>
      <w:instrText xml:space="preserve">PAGE  </w:instrText>
    </w:r>
    <w:r>
      <w:rPr>
        <w:rStyle w:val="SayfaNumaras"/>
      </w:rPr>
      <w:fldChar w:fldCharType="separate"/>
    </w:r>
    <w:r w:rsidR="003526E7">
      <w:rPr>
        <w:rStyle w:val="SayfaNumaras"/>
        <w:noProof/>
      </w:rPr>
      <w:t>4</w:t>
    </w:r>
    <w:r>
      <w:rPr>
        <w:rStyle w:val="SayfaNumaras"/>
      </w:rPr>
      <w:fldChar w:fldCharType="end"/>
    </w:r>
  </w:p>
  <w:p w:rsidR="006F7635" w:rsidRDefault="006F7635" w:rsidP="006F7635">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6F0" w:rsidRDefault="001F46F0">
      <w:r>
        <w:separator/>
      </w:r>
    </w:p>
  </w:footnote>
  <w:footnote w:type="continuationSeparator" w:id="0">
    <w:p w:rsidR="001F46F0" w:rsidRDefault="001F4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nsid w:val="0E784C8F"/>
    <w:multiLevelType w:val="hybridMultilevel"/>
    <w:tmpl w:val="7F1494BE"/>
    <w:lvl w:ilvl="0" w:tplc="D08402AC">
      <w:start w:val="1"/>
      <w:numFmt w:val="bullet"/>
      <w:lvlText w:val="•"/>
      <w:lvlJc w:val="left"/>
      <w:pPr>
        <w:tabs>
          <w:tab w:val="num" w:pos="720"/>
        </w:tabs>
        <w:ind w:left="720" w:hanging="360"/>
      </w:pPr>
      <w:rPr>
        <w:rFonts w:ascii="Arial" w:hAnsi="Arial" w:hint="default"/>
      </w:rPr>
    </w:lvl>
    <w:lvl w:ilvl="1" w:tplc="E20A18DC" w:tentative="1">
      <w:start w:val="1"/>
      <w:numFmt w:val="bullet"/>
      <w:lvlText w:val="•"/>
      <w:lvlJc w:val="left"/>
      <w:pPr>
        <w:tabs>
          <w:tab w:val="num" w:pos="1440"/>
        </w:tabs>
        <w:ind w:left="1440" w:hanging="360"/>
      </w:pPr>
      <w:rPr>
        <w:rFonts w:ascii="Arial" w:hAnsi="Arial" w:hint="default"/>
      </w:rPr>
    </w:lvl>
    <w:lvl w:ilvl="2" w:tplc="27C2B5CE" w:tentative="1">
      <w:start w:val="1"/>
      <w:numFmt w:val="bullet"/>
      <w:lvlText w:val="•"/>
      <w:lvlJc w:val="left"/>
      <w:pPr>
        <w:tabs>
          <w:tab w:val="num" w:pos="2160"/>
        </w:tabs>
        <w:ind w:left="2160" w:hanging="360"/>
      </w:pPr>
      <w:rPr>
        <w:rFonts w:ascii="Arial" w:hAnsi="Arial" w:hint="default"/>
      </w:rPr>
    </w:lvl>
    <w:lvl w:ilvl="3" w:tplc="1706B1B0" w:tentative="1">
      <w:start w:val="1"/>
      <w:numFmt w:val="bullet"/>
      <w:lvlText w:val="•"/>
      <w:lvlJc w:val="left"/>
      <w:pPr>
        <w:tabs>
          <w:tab w:val="num" w:pos="2880"/>
        </w:tabs>
        <w:ind w:left="2880" w:hanging="360"/>
      </w:pPr>
      <w:rPr>
        <w:rFonts w:ascii="Arial" w:hAnsi="Arial" w:hint="default"/>
      </w:rPr>
    </w:lvl>
    <w:lvl w:ilvl="4" w:tplc="32347142" w:tentative="1">
      <w:start w:val="1"/>
      <w:numFmt w:val="bullet"/>
      <w:lvlText w:val="•"/>
      <w:lvlJc w:val="left"/>
      <w:pPr>
        <w:tabs>
          <w:tab w:val="num" w:pos="3600"/>
        </w:tabs>
        <w:ind w:left="3600" w:hanging="360"/>
      </w:pPr>
      <w:rPr>
        <w:rFonts w:ascii="Arial" w:hAnsi="Arial" w:hint="default"/>
      </w:rPr>
    </w:lvl>
    <w:lvl w:ilvl="5" w:tplc="88A0F3A2" w:tentative="1">
      <w:start w:val="1"/>
      <w:numFmt w:val="bullet"/>
      <w:lvlText w:val="•"/>
      <w:lvlJc w:val="left"/>
      <w:pPr>
        <w:tabs>
          <w:tab w:val="num" w:pos="4320"/>
        </w:tabs>
        <w:ind w:left="4320" w:hanging="360"/>
      </w:pPr>
      <w:rPr>
        <w:rFonts w:ascii="Arial" w:hAnsi="Arial" w:hint="default"/>
      </w:rPr>
    </w:lvl>
    <w:lvl w:ilvl="6" w:tplc="261420EC" w:tentative="1">
      <w:start w:val="1"/>
      <w:numFmt w:val="bullet"/>
      <w:lvlText w:val="•"/>
      <w:lvlJc w:val="left"/>
      <w:pPr>
        <w:tabs>
          <w:tab w:val="num" w:pos="5040"/>
        </w:tabs>
        <w:ind w:left="5040" w:hanging="360"/>
      </w:pPr>
      <w:rPr>
        <w:rFonts w:ascii="Arial" w:hAnsi="Arial" w:hint="default"/>
      </w:rPr>
    </w:lvl>
    <w:lvl w:ilvl="7" w:tplc="69508F5C" w:tentative="1">
      <w:start w:val="1"/>
      <w:numFmt w:val="bullet"/>
      <w:lvlText w:val="•"/>
      <w:lvlJc w:val="left"/>
      <w:pPr>
        <w:tabs>
          <w:tab w:val="num" w:pos="5760"/>
        </w:tabs>
        <w:ind w:left="5760" w:hanging="360"/>
      </w:pPr>
      <w:rPr>
        <w:rFonts w:ascii="Arial" w:hAnsi="Arial" w:hint="default"/>
      </w:rPr>
    </w:lvl>
    <w:lvl w:ilvl="8" w:tplc="56E287C4" w:tentative="1">
      <w:start w:val="1"/>
      <w:numFmt w:val="bullet"/>
      <w:lvlText w:val="•"/>
      <w:lvlJc w:val="left"/>
      <w:pPr>
        <w:tabs>
          <w:tab w:val="num" w:pos="6480"/>
        </w:tabs>
        <w:ind w:left="6480" w:hanging="360"/>
      </w:pPr>
      <w:rPr>
        <w:rFonts w:ascii="Arial" w:hAnsi="Arial" w:hint="default"/>
      </w:rPr>
    </w:lvl>
  </w:abstractNum>
  <w:abstractNum w:abstractNumId="2">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16949D7"/>
    <w:multiLevelType w:val="hybridMultilevel"/>
    <w:tmpl w:val="F734107A"/>
    <w:lvl w:ilvl="0" w:tplc="5A607F34">
      <w:start w:val="1"/>
      <w:numFmt w:val="bullet"/>
      <w:lvlText w:val="•"/>
      <w:lvlJc w:val="left"/>
      <w:pPr>
        <w:tabs>
          <w:tab w:val="num" w:pos="720"/>
        </w:tabs>
        <w:ind w:left="720" w:hanging="360"/>
      </w:pPr>
      <w:rPr>
        <w:rFonts w:ascii="Arial" w:hAnsi="Arial" w:hint="default"/>
      </w:rPr>
    </w:lvl>
    <w:lvl w:ilvl="1" w:tplc="908CE22A" w:tentative="1">
      <w:start w:val="1"/>
      <w:numFmt w:val="bullet"/>
      <w:lvlText w:val="•"/>
      <w:lvlJc w:val="left"/>
      <w:pPr>
        <w:tabs>
          <w:tab w:val="num" w:pos="1440"/>
        </w:tabs>
        <w:ind w:left="1440" w:hanging="360"/>
      </w:pPr>
      <w:rPr>
        <w:rFonts w:ascii="Arial" w:hAnsi="Arial" w:hint="default"/>
      </w:rPr>
    </w:lvl>
    <w:lvl w:ilvl="2" w:tplc="F90AB490" w:tentative="1">
      <w:start w:val="1"/>
      <w:numFmt w:val="bullet"/>
      <w:lvlText w:val="•"/>
      <w:lvlJc w:val="left"/>
      <w:pPr>
        <w:tabs>
          <w:tab w:val="num" w:pos="2160"/>
        </w:tabs>
        <w:ind w:left="2160" w:hanging="360"/>
      </w:pPr>
      <w:rPr>
        <w:rFonts w:ascii="Arial" w:hAnsi="Arial" w:hint="default"/>
      </w:rPr>
    </w:lvl>
    <w:lvl w:ilvl="3" w:tplc="963033BC" w:tentative="1">
      <w:start w:val="1"/>
      <w:numFmt w:val="bullet"/>
      <w:lvlText w:val="•"/>
      <w:lvlJc w:val="left"/>
      <w:pPr>
        <w:tabs>
          <w:tab w:val="num" w:pos="2880"/>
        </w:tabs>
        <w:ind w:left="2880" w:hanging="360"/>
      </w:pPr>
      <w:rPr>
        <w:rFonts w:ascii="Arial" w:hAnsi="Arial" w:hint="default"/>
      </w:rPr>
    </w:lvl>
    <w:lvl w:ilvl="4" w:tplc="1FB6FAF8" w:tentative="1">
      <w:start w:val="1"/>
      <w:numFmt w:val="bullet"/>
      <w:lvlText w:val="•"/>
      <w:lvlJc w:val="left"/>
      <w:pPr>
        <w:tabs>
          <w:tab w:val="num" w:pos="3600"/>
        </w:tabs>
        <w:ind w:left="3600" w:hanging="360"/>
      </w:pPr>
      <w:rPr>
        <w:rFonts w:ascii="Arial" w:hAnsi="Arial" w:hint="default"/>
      </w:rPr>
    </w:lvl>
    <w:lvl w:ilvl="5" w:tplc="8A5C6224" w:tentative="1">
      <w:start w:val="1"/>
      <w:numFmt w:val="bullet"/>
      <w:lvlText w:val="•"/>
      <w:lvlJc w:val="left"/>
      <w:pPr>
        <w:tabs>
          <w:tab w:val="num" w:pos="4320"/>
        </w:tabs>
        <w:ind w:left="4320" w:hanging="360"/>
      </w:pPr>
      <w:rPr>
        <w:rFonts w:ascii="Arial" w:hAnsi="Arial" w:hint="default"/>
      </w:rPr>
    </w:lvl>
    <w:lvl w:ilvl="6" w:tplc="85E8B224" w:tentative="1">
      <w:start w:val="1"/>
      <w:numFmt w:val="bullet"/>
      <w:lvlText w:val="•"/>
      <w:lvlJc w:val="left"/>
      <w:pPr>
        <w:tabs>
          <w:tab w:val="num" w:pos="5040"/>
        </w:tabs>
        <w:ind w:left="5040" w:hanging="360"/>
      </w:pPr>
      <w:rPr>
        <w:rFonts w:ascii="Arial" w:hAnsi="Arial" w:hint="default"/>
      </w:rPr>
    </w:lvl>
    <w:lvl w:ilvl="7" w:tplc="B5B0A8C6" w:tentative="1">
      <w:start w:val="1"/>
      <w:numFmt w:val="bullet"/>
      <w:lvlText w:val="•"/>
      <w:lvlJc w:val="left"/>
      <w:pPr>
        <w:tabs>
          <w:tab w:val="num" w:pos="5760"/>
        </w:tabs>
        <w:ind w:left="5760" w:hanging="360"/>
      </w:pPr>
      <w:rPr>
        <w:rFonts w:ascii="Arial" w:hAnsi="Arial" w:hint="default"/>
      </w:rPr>
    </w:lvl>
    <w:lvl w:ilvl="8" w:tplc="50E00C20" w:tentative="1">
      <w:start w:val="1"/>
      <w:numFmt w:val="bullet"/>
      <w:lvlText w:val="•"/>
      <w:lvlJc w:val="left"/>
      <w:pPr>
        <w:tabs>
          <w:tab w:val="num" w:pos="6480"/>
        </w:tabs>
        <w:ind w:left="6480" w:hanging="360"/>
      </w:pPr>
      <w:rPr>
        <w:rFonts w:ascii="Arial" w:hAnsi="Arial" w:hint="default"/>
      </w:rPr>
    </w:lvl>
  </w:abstractNum>
  <w:abstractNum w:abstractNumId="5">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9"/>
  </w:num>
  <w:num w:numId="4">
    <w:abstractNumId w:val="6"/>
  </w:num>
  <w:num w:numId="5">
    <w:abstractNumId w:val="7"/>
  </w:num>
  <w:num w:numId="6">
    <w:abstractNumId w:val="3"/>
  </w:num>
  <w:num w:numId="7">
    <w:abstractNumId w:val="8"/>
  </w:num>
  <w:num w:numId="8">
    <w:abstractNumId w:val="5"/>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A74F0"/>
    <w:rsid w:val="00012D3A"/>
    <w:rsid w:val="000172C6"/>
    <w:rsid w:val="00041207"/>
    <w:rsid w:val="000600AB"/>
    <w:rsid w:val="00063E43"/>
    <w:rsid w:val="00065889"/>
    <w:rsid w:val="000855B2"/>
    <w:rsid w:val="000A1618"/>
    <w:rsid w:val="000D5776"/>
    <w:rsid w:val="000D6387"/>
    <w:rsid w:val="000E78A3"/>
    <w:rsid w:val="00135A46"/>
    <w:rsid w:val="00154644"/>
    <w:rsid w:val="001666E4"/>
    <w:rsid w:val="00180120"/>
    <w:rsid w:val="001841BF"/>
    <w:rsid w:val="00195211"/>
    <w:rsid w:val="001A1AD2"/>
    <w:rsid w:val="001A3E36"/>
    <w:rsid w:val="001B06F4"/>
    <w:rsid w:val="001D0E72"/>
    <w:rsid w:val="001E6EE3"/>
    <w:rsid w:val="001E7C37"/>
    <w:rsid w:val="001F46F0"/>
    <w:rsid w:val="00204EF5"/>
    <w:rsid w:val="00210805"/>
    <w:rsid w:val="00233FB4"/>
    <w:rsid w:val="00236200"/>
    <w:rsid w:val="00254147"/>
    <w:rsid w:val="0025764F"/>
    <w:rsid w:val="002616CF"/>
    <w:rsid w:val="0026461E"/>
    <w:rsid w:val="00271604"/>
    <w:rsid w:val="00287877"/>
    <w:rsid w:val="002A0D15"/>
    <w:rsid w:val="002C38CE"/>
    <w:rsid w:val="002E48D2"/>
    <w:rsid w:val="002E4ABE"/>
    <w:rsid w:val="002E52BE"/>
    <w:rsid w:val="002F0129"/>
    <w:rsid w:val="00302A64"/>
    <w:rsid w:val="00320F21"/>
    <w:rsid w:val="00325A6C"/>
    <w:rsid w:val="0033737C"/>
    <w:rsid w:val="00344C16"/>
    <w:rsid w:val="00346A11"/>
    <w:rsid w:val="003503BE"/>
    <w:rsid w:val="003526E7"/>
    <w:rsid w:val="00355133"/>
    <w:rsid w:val="00360217"/>
    <w:rsid w:val="00381D57"/>
    <w:rsid w:val="00384D9A"/>
    <w:rsid w:val="00387E91"/>
    <w:rsid w:val="003A2E0F"/>
    <w:rsid w:val="003B0A6F"/>
    <w:rsid w:val="003C152F"/>
    <w:rsid w:val="003D11D4"/>
    <w:rsid w:val="003D4B2D"/>
    <w:rsid w:val="003E3517"/>
    <w:rsid w:val="003F3D68"/>
    <w:rsid w:val="003F533E"/>
    <w:rsid w:val="00410893"/>
    <w:rsid w:val="00435867"/>
    <w:rsid w:val="00464D14"/>
    <w:rsid w:val="004732EC"/>
    <w:rsid w:val="0048342A"/>
    <w:rsid w:val="004A223D"/>
    <w:rsid w:val="004B1F4E"/>
    <w:rsid w:val="004C44FF"/>
    <w:rsid w:val="004C72E6"/>
    <w:rsid w:val="004D3BCF"/>
    <w:rsid w:val="004D4781"/>
    <w:rsid w:val="004E1788"/>
    <w:rsid w:val="004F514B"/>
    <w:rsid w:val="005057F5"/>
    <w:rsid w:val="005541B6"/>
    <w:rsid w:val="00562D90"/>
    <w:rsid w:val="00564842"/>
    <w:rsid w:val="00591DC8"/>
    <w:rsid w:val="0059246A"/>
    <w:rsid w:val="005957A3"/>
    <w:rsid w:val="005C1784"/>
    <w:rsid w:val="005D1386"/>
    <w:rsid w:val="005D47DD"/>
    <w:rsid w:val="005E5C82"/>
    <w:rsid w:val="005F4FA8"/>
    <w:rsid w:val="0061249D"/>
    <w:rsid w:val="00625B8F"/>
    <w:rsid w:val="006309DA"/>
    <w:rsid w:val="00656BC1"/>
    <w:rsid w:val="00671F19"/>
    <w:rsid w:val="00674BE8"/>
    <w:rsid w:val="00676094"/>
    <w:rsid w:val="00677251"/>
    <w:rsid w:val="00687A65"/>
    <w:rsid w:val="00690804"/>
    <w:rsid w:val="00693AE7"/>
    <w:rsid w:val="006A143A"/>
    <w:rsid w:val="006A2FA3"/>
    <w:rsid w:val="006A3171"/>
    <w:rsid w:val="006B529A"/>
    <w:rsid w:val="006B771A"/>
    <w:rsid w:val="006D052E"/>
    <w:rsid w:val="006D2E88"/>
    <w:rsid w:val="006D6D82"/>
    <w:rsid w:val="006F3049"/>
    <w:rsid w:val="006F33A4"/>
    <w:rsid w:val="006F4CD8"/>
    <w:rsid w:val="006F7635"/>
    <w:rsid w:val="006F7EB7"/>
    <w:rsid w:val="0071573D"/>
    <w:rsid w:val="00717568"/>
    <w:rsid w:val="00734C32"/>
    <w:rsid w:val="0075310B"/>
    <w:rsid w:val="00756C19"/>
    <w:rsid w:val="00760A80"/>
    <w:rsid w:val="00771231"/>
    <w:rsid w:val="007777B0"/>
    <w:rsid w:val="00785CE2"/>
    <w:rsid w:val="00787525"/>
    <w:rsid w:val="00797C64"/>
    <w:rsid w:val="007B547A"/>
    <w:rsid w:val="007B7944"/>
    <w:rsid w:val="007C5CFC"/>
    <w:rsid w:val="007D7E89"/>
    <w:rsid w:val="007E51D1"/>
    <w:rsid w:val="007E6862"/>
    <w:rsid w:val="00803A91"/>
    <w:rsid w:val="00823C01"/>
    <w:rsid w:val="0082646F"/>
    <w:rsid w:val="00850E3F"/>
    <w:rsid w:val="00853CCC"/>
    <w:rsid w:val="0086023B"/>
    <w:rsid w:val="00867783"/>
    <w:rsid w:val="0087075F"/>
    <w:rsid w:val="008740E9"/>
    <w:rsid w:val="00885C2B"/>
    <w:rsid w:val="0088762B"/>
    <w:rsid w:val="0089084D"/>
    <w:rsid w:val="00890DD1"/>
    <w:rsid w:val="008B1D07"/>
    <w:rsid w:val="008B2511"/>
    <w:rsid w:val="008C1EA4"/>
    <w:rsid w:val="008C4248"/>
    <w:rsid w:val="008C7536"/>
    <w:rsid w:val="008C7F92"/>
    <w:rsid w:val="008D3403"/>
    <w:rsid w:val="008E3CA8"/>
    <w:rsid w:val="00910D2F"/>
    <w:rsid w:val="009434FB"/>
    <w:rsid w:val="009547FF"/>
    <w:rsid w:val="00961E9B"/>
    <w:rsid w:val="00984C97"/>
    <w:rsid w:val="00992474"/>
    <w:rsid w:val="009A74F0"/>
    <w:rsid w:val="009B05E8"/>
    <w:rsid w:val="009B43B4"/>
    <w:rsid w:val="009B578F"/>
    <w:rsid w:val="009D000A"/>
    <w:rsid w:val="009D0021"/>
    <w:rsid w:val="009D1331"/>
    <w:rsid w:val="009D5206"/>
    <w:rsid w:val="00A24E89"/>
    <w:rsid w:val="00A4013A"/>
    <w:rsid w:val="00A626FF"/>
    <w:rsid w:val="00A744AD"/>
    <w:rsid w:val="00A80767"/>
    <w:rsid w:val="00A842BE"/>
    <w:rsid w:val="00A86EDC"/>
    <w:rsid w:val="00AA335D"/>
    <w:rsid w:val="00AA417E"/>
    <w:rsid w:val="00AB5AEC"/>
    <w:rsid w:val="00AC2FA9"/>
    <w:rsid w:val="00AD758A"/>
    <w:rsid w:val="00AE6162"/>
    <w:rsid w:val="00B033EC"/>
    <w:rsid w:val="00B1279F"/>
    <w:rsid w:val="00B155B6"/>
    <w:rsid w:val="00B222EA"/>
    <w:rsid w:val="00B30F78"/>
    <w:rsid w:val="00B72CD9"/>
    <w:rsid w:val="00B80692"/>
    <w:rsid w:val="00BA4955"/>
    <w:rsid w:val="00BA632D"/>
    <w:rsid w:val="00BB125E"/>
    <w:rsid w:val="00BF5AF9"/>
    <w:rsid w:val="00C00D38"/>
    <w:rsid w:val="00C01602"/>
    <w:rsid w:val="00C05A15"/>
    <w:rsid w:val="00C3227F"/>
    <w:rsid w:val="00C35982"/>
    <w:rsid w:val="00C422DF"/>
    <w:rsid w:val="00C510A7"/>
    <w:rsid w:val="00C536E9"/>
    <w:rsid w:val="00C6216C"/>
    <w:rsid w:val="00CC4FAD"/>
    <w:rsid w:val="00CC6CD2"/>
    <w:rsid w:val="00CD0BD9"/>
    <w:rsid w:val="00CD35EA"/>
    <w:rsid w:val="00CD5A27"/>
    <w:rsid w:val="00CF6890"/>
    <w:rsid w:val="00D024C0"/>
    <w:rsid w:val="00D2309C"/>
    <w:rsid w:val="00D379CD"/>
    <w:rsid w:val="00D71E0B"/>
    <w:rsid w:val="00D76098"/>
    <w:rsid w:val="00D866D4"/>
    <w:rsid w:val="00D87D75"/>
    <w:rsid w:val="00D9255E"/>
    <w:rsid w:val="00DF4FE2"/>
    <w:rsid w:val="00E03F4A"/>
    <w:rsid w:val="00E1231D"/>
    <w:rsid w:val="00E669A0"/>
    <w:rsid w:val="00E67545"/>
    <w:rsid w:val="00E70D64"/>
    <w:rsid w:val="00E71EED"/>
    <w:rsid w:val="00E822C1"/>
    <w:rsid w:val="00EB0534"/>
    <w:rsid w:val="00EC089C"/>
    <w:rsid w:val="00EC7411"/>
    <w:rsid w:val="00ED41D4"/>
    <w:rsid w:val="00EE0C53"/>
    <w:rsid w:val="00EE3C9B"/>
    <w:rsid w:val="00EF5436"/>
    <w:rsid w:val="00F0615B"/>
    <w:rsid w:val="00F06AF8"/>
    <w:rsid w:val="00F12CEA"/>
    <w:rsid w:val="00F16313"/>
    <w:rsid w:val="00F21CF6"/>
    <w:rsid w:val="00F4047E"/>
    <w:rsid w:val="00F80379"/>
    <w:rsid w:val="00F83E9D"/>
    <w:rsid w:val="00F86A40"/>
    <w:rsid w:val="00FA6CD8"/>
    <w:rsid w:val="00FD157F"/>
    <w:rsid w:val="00FD4C3E"/>
    <w:rsid w:val="00FE7C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basedOn w:val="Normal"/>
    <w:rsid w:val="00C05A15"/>
    <w:pPr>
      <w:spacing w:after="160" w:line="240" w:lineRule="exact"/>
    </w:pPr>
    <w:rPr>
      <w:sz w:val="20"/>
      <w:szCs w:val="20"/>
      <w:lang w:val="de-DE"/>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footer"/>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rsid w:val="00E67545"/>
    <w:rPr>
      <w:sz w:val="96"/>
      <w:szCs w:val="20"/>
    </w:rPr>
  </w:style>
  <w:style w:type="paragraph" w:customStyle="1" w:styleId="nor">
    <w:name w:val="nor"/>
    <w:basedOn w:val="Normal"/>
    <w:rsid w:val="005957A3"/>
    <w:pPr>
      <w:spacing w:before="100" w:beforeAutospacing="1" w:after="100" w:afterAutospacing="1"/>
    </w:pPr>
  </w:style>
  <w:style w:type="paragraph" w:styleId="BalonMetni">
    <w:name w:val="Balloon Text"/>
    <w:basedOn w:val="Normal"/>
    <w:link w:val="BalonMetniChar"/>
    <w:rsid w:val="006F4CD8"/>
    <w:rPr>
      <w:rFonts w:ascii="Tahoma" w:hAnsi="Tahoma" w:cs="Tahoma"/>
      <w:sz w:val="16"/>
      <w:szCs w:val="16"/>
    </w:rPr>
  </w:style>
  <w:style w:type="character" w:customStyle="1" w:styleId="BalonMetniChar">
    <w:name w:val="Balon Metni Char"/>
    <w:basedOn w:val="VarsaylanParagrafYazTipi"/>
    <w:link w:val="BalonMetni"/>
    <w:rsid w:val="006F4CD8"/>
    <w:rPr>
      <w:rFonts w:ascii="Tahoma" w:hAnsi="Tahoma" w:cs="Tahoma"/>
      <w:sz w:val="16"/>
      <w:szCs w:val="16"/>
    </w:rPr>
  </w:style>
  <w:style w:type="paragraph" w:styleId="ListeParagraf">
    <w:name w:val="List Paragraph"/>
    <w:basedOn w:val="Normal"/>
    <w:uiPriority w:val="34"/>
    <w:qFormat/>
    <w:rsid w:val="009434FB"/>
    <w:pPr>
      <w:ind w:left="720"/>
      <w:contextualSpacing/>
    </w:pPr>
  </w:style>
</w:styles>
</file>

<file path=word/webSettings.xml><?xml version="1.0" encoding="utf-8"?>
<w:webSettings xmlns:r="http://schemas.openxmlformats.org/officeDocument/2006/relationships" xmlns:w="http://schemas.openxmlformats.org/wordprocessingml/2006/main">
  <w:divs>
    <w:div w:id="614751075">
      <w:bodyDiv w:val="1"/>
      <w:marLeft w:val="0"/>
      <w:marRight w:val="0"/>
      <w:marTop w:val="0"/>
      <w:marBottom w:val="0"/>
      <w:divBdr>
        <w:top w:val="none" w:sz="0" w:space="0" w:color="auto"/>
        <w:left w:val="none" w:sz="0" w:space="0" w:color="auto"/>
        <w:bottom w:val="none" w:sz="0" w:space="0" w:color="auto"/>
        <w:right w:val="none" w:sz="0" w:space="0" w:color="auto"/>
      </w:divBdr>
      <w:divsChild>
        <w:div w:id="96298533">
          <w:marLeft w:val="547"/>
          <w:marRight w:val="0"/>
          <w:marTop w:val="0"/>
          <w:marBottom w:val="0"/>
          <w:divBdr>
            <w:top w:val="none" w:sz="0" w:space="0" w:color="auto"/>
            <w:left w:val="none" w:sz="0" w:space="0" w:color="auto"/>
            <w:bottom w:val="none" w:sz="0" w:space="0" w:color="auto"/>
            <w:right w:val="none" w:sz="0" w:space="0" w:color="auto"/>
          </w:divBdr>
        </w:div>
        <w:div w:id="1208833242">
          <w:marLeft w:val="547"/>
          <w:marRight w:val="0"/>
          <w:marTop w:val="0"/>
          <w:marBottom w:val="0"/>
          <w:divBdr>
            <w:top w:val="none" w:sz="0" w:space="0" w:color="auto"/>
            <w:left w:val="none" w:sz="0" w:space="0" w:color="auto"/>
            <w:bottom w:val="none" w:sz="0" w:space="0" w:color="auto"/>
            <w:right w:val="none" w:sz="0" w:space="0" w:color="auto"/>
          </w:divBdr>
        </w:div>
        <w:div w:id="1104763027">
          <w:marLeft w:val="547"/>
          <w:marRight w:val="0"/>
          <w:marTop w:val="0"/>
          <w:marBottom w:val="0"/>
          <w:divBdr>
            <w:top w:val="none" w:sz="0" w:space="0" w:color="auto"/>
            <w:left w:val="none" w:sz="0" w:space="0" w:color="auto"/>
            <w:bottom w:val="none" w:sz="0" w:space="0" w:color="auto"/>
            <w:right w:val="none" w:sz="0" w:space="0" w:color="auto"/>
          </w:divBdr>
        </w:div>
        <w:div w:id="850484298">
          <w:marLeft w:val="547"/>
          <w:marRight w:val="0"/>
          <w:marTop w:val="0"/>
          <w:marBottom w:val="0"/>
          <w:divBdr>
            <w:top w:val="none" w:sz="0" w:space="0" w:color="auto"/>
            <w:left w:val="none" w:sz="0" w:space="0" w:color="auto"/>
            <w:bottom w:val="none" w:sz="0" w:space="0" w:color="auto"/>
            <w:right w:val="none" w:sz="0" w:space="0" w:color="auto"/>
          </w:divBdr>
        </w:div>
      </w:divsChild>
    </w:div>
    <w:div w:id="690376079">
      <w:bodyDiv w:val="1"/>
      <w:marLeft w:val="0"/>
      <w:marRight w:val="0"/>
      <w:marTop w:val="0"/>
      <w:marBottom w:val="0"/>
      <w:divBdr>
        <w:top w:val="none" w:sz="0" w:space="0" w:color="auto"/>
        <w:left w:val="none" w:sz="0" w:space="0" w:color="auto"/>
        <w:bottom w:val="none" w:sz="0" w:space="0" w:color="auto"/>
        <w:right w:val="none" w:sz="0" w:space="0" w:color="auto"/>
      </w:divBdr>
      <w:divsChild>
        <w:div w:id="1301767367">
          <w:marLeft w:val="547"/>
          <w:marRight w:val="0"/>
          <w:marTop w:val="0"/>
          <w:marBottom w:val="0"/>
          <w:divBdr>
            <w:top w:val="none" w:sz="0" w:space="0" w:color="auto"/>
            <w:left w:val="none" w:sz="0" w:space="0" w:color="auto"/>
            <w:bottom w:val="none" w:sz="0" w:space="0" w:color="auto"/>
            <w:right w:val="none" w:sz="0" w:space="0" w:color="auto"/>
          </w:divBdr>
        </w:div>
        <w:div w:id="1035081043">
          <w:marLeft w:val="547"/>
          <w:marRight w:val="0"/>
          <w:marTop w:val="0"/>
          <w:marBottom w:val="0"/>
          <w:divBdr>
            <w:top w:val="none" w:sz="0" w:space="0" w:color="auto"/>
            <w:left w:val="none" w:sz="0" w:space="0" w:color="auto"/>
            <w:bottom w:val="none" w:sz="0" w:space="0" w:color="auto"/>
            <w:right w:val="none" w:sz="0" w:space="0" w:color="auto"/>
          </w:divBdr>
        </w:div>
      </w:divsChild>
    </w:div>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Bütçe Başlangıç Ödeneklerinin 2011-2012 Yılları İtibariyle Dağılımı</a:t>
            </a:r>
          </a:p>
        </c:rich>
      </c:tx>
      <c:layout>
        <c:manualLayout>
          <c:xMode val="edge"/>
          <c:yMode val="edge"/>
          <c:x val="0.12347019771317512"/>
          <c:y val="2.0715512255883282E-2"/>
        </c:manualLayout>
      </c:layout>
      <c:spPr>
        <a:noFill/>
        <a:ln w="25399">
          <a:noFill/>
        </a:ln>
      </c:spPr>
    </c:title>
    <c:plotArea>
      <c:layout>
        <c:manualLayout>
          <c:layoutTarget val="inner"/>
          <c:xMode val="edge"/>
          <c:yMode val="edge"/>
          <c:x val="0.11179031192529511"/>
          <c:y val="0.1001664300159202"/>
          <c:w val="0.82362728785357953"/>
          <c:h val="0.66796875000000133"/>
        </c:manualLayout>
      </c:layout>
      <c:barChart>
        <c:barDir val="col"/>
        <c:grouping val="clustered"/>
        <c:ser>
          <c:idx val="0"/>
          <c:order val="0"/>
          <c:tx>
            <c:strRef>
              <c:f>Sayfa1!$A$5</c:f>
              <c:strCache>
                <c:ptCount val="1"/>
                <c:pt idx="0">
                  <c:v>2011 Yılı Başlangıç Ödeneği (1000 TL)</c:v>
                </c:pt>
              </c:strCache>
            </c:strRef>
          </c:tx>
          <c:spPr>
            <a:solidFill>
              <a:srgbClr val="9B85B5"/>
            </a:solidFill>
            <a:ln w="12700">
              <a:solidFill>
                <a:srgbClr val="000000"/>
              </a:solidFill>
              <a:prstDash val="solid"/>
            </a:ln>
          </c:spPr>
          <c:dLbls>
            <c:dLbl>
              <c:idx val="0"/>
              <c:layout>
                <c:manualLayout>
                  <c:x val="-9.0702947845805008E-3"/>
                  <c:y val="-4.3715846994535562E-3"/>
                </c:manualLayout>
              </c:layout>
              <c:dLblPos val="outEnd"/>
              <c:showVal val="1"/>
            </c:dLbl>
            <c:dLbl>
              <c:idx val="3"/>
              <c:layout>
                <c:manualLayout>
                  <c:x val="-6.8027210884353843E-3"/>
                  <c:y val="0"/>
                </c:manualLayout>
              </c:layout>
              <c:dLblPos val="outEnd"/>
              <c:showVal val="1"/>
            </c:dLbl>
            <c:spPr>
              <a:noFill/>
              <a:ln w="25399">
                <a:noFill/>
              </a:ln>
            </c:spPr>
            <c:txPr>
              <a:bodyPr/>
              <a:lstStyle/>
              <a:p>
                <a:pPr>
                  <a:defRPr sz="800" b="1" i="0" u="none" strike="noStrike" baseline="0">
                    <a:solidFill>
                      <a:schemeClr val="tx1"/>
                    </a:solidFill>
                    <a:latin typeface="Arial"/>
                    <a:ea typeface="Arial"/>
                    <a:cs typeface="Arial"/>
                  </a:defRPr>
                </a:pPr>
                <a:endParaRPr lang="tr-TR"/>
              </a:p>
            </c:txPr>
            <c:dLblPos val="outEnd"/>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11014</c:v>
                </c:pt>
                <c:pt idx="1">
                  <c:v>1806</c:v>
                </c:pt>
                <c:pt idx="2">
                  <c:v>1966</c:v>
                </c:pt>
                <c:pt idx="3">
                  <c:v>1341</c:v>
                </c:pt>
                <c:pt idx="4">
                  <c:v>3000</c:v>
                </c:pt>
              </c:numCache>
            </c:numRef>
          </c:val>
        </c:ser>
        <c:ser>
          <c:idx val="1"/>
          <c:order val="1"/>
          <c:tx>
            <c:strRef>
              <c:f>Sayfa1!$A$6</c:f>
              <c:strCache>
                <c:ptCount val="1"/>
                <c:pt idx="0">
                  <c:v>2012 Yılı Başlangıç Ödeneği (1000 TL)</c:v>
                </c:pt>
              </c:strCache>
            </c:strRef>
          </c:tx>
          <c:spPr>
            <a:solidFill>
              <a:srgbClr val="FF8989"/>
            </a:solidFill>
            <a:ln w="12700">
              <a:solidFill>
                <a:srgbClr val="000000"/>
              </a:solidFill>
              <a:prstDash val="solid"/>
            </a:ln>
          </c:spPr>
          <c:dLbls>
            <c:dLbl>
              <c:idx val="0"/>
              <c:layout>
                <c:manualLayout>
                  <c:x val="3.0277030418219827E-2"/>
                  <c:y val="-5.6847131396711124E-3"/>
                </c:manualLayout>
              </c:layout>
              <c:dLblPos val="outEnd"/>
              <c:showVal val="1"/>
            </c:dLbl>
            <c:dLbl>
              <c:idx val="1"/>
              <c:layout>
                <c:manualLayout>
                  <c:x val="1.1520417314606851E-2"/>
                  <c:y val="-4.84995872691058E-3"/>
                </c:manualLayout>
              </c:layout>
              <c:dLblPos val="outEnd"/>
              <c:showVal val="1"/>
            </c:dLbl>
            <c:dLbl>
              <c:idx val="2"/>
              <c:layout>
                <c:manualLayout>
                  <c:x val="2.5574836060852871E-2"/>
                  <c:y val="-4.4074716649119793E-3"/>
                </c:manualLayout>
              </c:layout>
              <c:dLblPos val="outEnd"/>
              <c:showVal val="1"/>
            </c:dLbl>
            <c:dLbl>
              <c:idx val="3"/>
              <c:layout>
                <c:manualLayout>
                  <c:x val="1.1337868480725623E-2"/>
                  <c:y val="-4.3715846994535562E-3"/>
                </c:manualLayout>
              </c:layout>
              <c:tx>
                <c:rich>
                  <a:bodyPr/>
                  <a:lstStyle/>
                  <a:p>
                    <a:r>
                      <a:rPr lang="tr-TR" baseline="0"/>
                      <a:t>1</a:t>
                    </a:r>
                    <a:r>
                      <a:rPr lang="tr-TR"/>
                      <a:t>.215</a:t>
                    </a:r>
                    <a:endParaRPr lang="en-US"/>
                  </a:p>
                </c:rich>
              </c:tx>
            </c:dLbl>
            <c:dLbl>
              <c:idx val="4"/>
              <c:layout>
                <c:manualLayout>
                  <c:x val="1.9305243584363765E-2"/>
                  <c:y val="-5.5548141228109714E-3"/>
                </c:manualLayout>
              </c:layout>
              <c:dLblPos val="outEnd"/>
              <c:showVal val="1"/>
            </c:dLbl>
            <c:spPr>
              <a:noFill/>
              <a:ln w="25399">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19242</c:v>
                </c:pt>
                <c:pt idx="1">
                  <c:v>3262</c:v>
                </c:pt>
                <c:pt idx="2">
                  <c:v>2257</c:v>
                </c:pt>
                <c:pt idx="3">
                  <c:v>1215</c:v>
                </c:pt>
                <c:pt idx="4">
                  <c:v>3000</c:v>
                </c:pt>
              </c:numCache>
            </c:numRef>
          </c:val>
        </c:ser>
        <c:ser>
          <c:idx val="2"/>
          <c:order val="2"/>
          <c:tx>
            <c:strRef>
              <c:f>Sayfa1!$A$7</c:f>
              <c:strCache>
                <c:ptCount val="1"/>
                <c:pt idx="0">
                  <c:v>Artış Oranı</c:v>
                </c:pt>
              </c:strCache>
            </c:strRef>
          </c:tx>
          <c:spPr>
            <a:solidFill>
              <a:srgbClr val="00FF00"/>
            </a:solidFill>
            <a:ln w="12700">
              <a:solidFill>
                <a:srgbClr val="000000"/>
              </a:solidFill>
              <a:prstDash val="solid"/>
            </a:ln>
          </c:spPr>
          <c:dLbls>
            <c:dLbl>
              <c:idx val="0"/>
              <c:layout>
                <c:manualLayout>
                  <c:x val="-5.6578463406359858E-2"/>
                  <c:y val="-0.58405404242502523"/>
                </c:manualLayout>
              </c:layout>
              <c:tx>
                <c:rich>
                  <a:bodyPr/>
                  <a:lstStyle/>
                  <a:p>
                    <a:r>
                      <a:rPr lang="tr-TR"/>
                      <a:t>%</a:t>
                    </a:r>
                    <a:r>
                      <a:rPr lang="en-US"/>
                      <a:t>75 </a:t>
                    </a:r>
                  </a:p>
                </c:rich>
              </c:tx>
              <c:dLblPos val="outEnd"/>
              <c:showVal val="1"/>
            </c:dLbl>
            <c:dLbl>
              <c:idx val="1"/>
              <c:layout>
                <c:manualLayout>
                  <c:x val="-5.6283678825861119E-2"/>
                  <c:y val="-0.1494248956585344"/>
                </c:manualLayout>
              </c:layout>
              <c:tx>
                <c:rich>
                  <a:bodyPr/>
                  <a:lstStyle/>
                  <a:p>
                    <a:r>
                      <a:rPr lang="tr-TR"/>
                      <a:t>%</a:t>
                    </a:r>
                    <a:r>
                      <a:rPr lang="en-US"/>
                      <a:t>81 </a:t>
                    </a:r>
                  </a:p>
                </c:rich>
              </c:tx>
              <c:dLblPos val="outEnd"/>
              <c:showVal val="1"/>
            </c:dLbl>
            <c:dLbl>
              <c:idx val="2"/>
              <c:layout>
                <c:manualLayout>
                  <c:x val="-6.4152516649704505E-2"/>
                  <c:y val="-0.14586704530786138"/>
                </c:manualLayout>
              </c:layout>
              <c:tx>
                <c:rich>
                  <a:bodyPr/>
                  <a:lstStyle/>
                  <a:p>
                    <a:r>
                      <a:rPr lang="tr-TR"/>
                      <a:t>%15</a:t>
                    </a:r>
                    <a:r>
                      <a:rPr lang="en-US"/>
                      <a:t> </a:t>
                    </a:r>
                  </a:p>
                </c:rich>
              </c:tx>
              <c:dLblPos val="outEnd"/>
              <c:showVal val="1"/>
            </c:dLbl>
            <c:dLbl>
              <c:idx val="3"/>
              <c:layout>
                <c:manualLayout>
                  <c:x val="-5.4549074222865014E-2"/>
                  <c:y val="-0.11223200378641214"/>
                </c:manualLayout>
              </c:layout>
              <c:tx>
                <c:rich>
                  <a:bodyPr/>
                  <a:lstStyle/>
                  <a:p>
                    <a:r>
                      <a:rPr lang="tr-TR" baseline="0"/>
                      <a:t>-%0,9</a:t>
                    </a:r>
                    <a:r>
                      <a:rPr lang="en-US" baseline="0"/>
                      <a:t> </a:t>
                    </a:r>
                  </a:p>
                </c:rich>
              </c:tx>
              <c:dLblPos val="outEnd"/>
              <c:showVal val="1"/>
            </c:dLbl>
            <c:dLbl>
              <c:idx val="4"/>
              <c:layout>
                <c:manualLayout>
                  <c:x val="-6.1999750031246185E-2"/>
                  <c:y val="-0.15958487156318571"/>
                </c:manualLayout>
              </c:layout>
              <c:dLblPos val="outEnd"/>
              <c:showVal val="1"/>
            </c:dLbl>
            <c:numFmt formatCode="#,##0.00_ ;\-#,##0.00\ "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0.0000</c:formatCode>
                <c:ptCount val="5"/>
                <c:pt idx="0">
                  <c:v>0.74704921009624226</c:v>
                </c:pt>
                <c:pt idx="1">
                  <c:v>0.80620155038759778</c:v>
                </c:pt>
                <c:pt idx="2">
                  <c:v>0.14801627670396744</c:v>
                </c:pt>
                <c:pt idx="3">
                  <c:v>0.16600000000000012</c:v>
                </c:pt>
                <c:pt idx="4">
                  <c:v>0</c:v>
                </c:pt>
              </c:numCache>
            </c:numRef>
          </c:val>
        </c:ser>
        <c:dLbls>
          <c:showVal val="1"/>
        </c:dLbls>
        <c:gapWidth val="113"/>
        <c:axId val="39081856"/>
        <c:axId val="39083392"/>
      </c:barChart>
      <c:catAx>
        <c:axId val="39081856"/>
        <c:scaling>
          <c:orientation val="minMax"/>
        </c:scaling>
        <c:axPos val="b"/>
        <c:numFmt formatCode="General" sourceLinked="1"/>
        <c:tickLblPos val="nextTo"/>
        <c:spPr>
          <a:ln w="3175">
            <a:solidFill>
              <a:srgbClr val="000000"/>
            </a:solidFill>
            <a:prstDash val="solid"/>
          </a:ln>
        </c:spPr>
        <c:txPr>
          <a:bodyPr rot="0" vert="horz"/>
          <a:lstStyle/>
          <a:p>
            <a:pPr>
              <a:defRPr sz="750" b="0" i="0" u="none" strike="noStrike" baseline="0">
                <a:solidFill>
                  <a:schemeClr val="tx1"/>
                </a:solidFill>
                <a:latin typeface="Arial"/>
                <a:ea typeface="Arial"/>
                <a:cs typeface="Arial"/>
              </a:defRPr>
            </a:pPr>
            <a:endParaRPr lang="tr-TR"/>
          </a:p>
        </c:txPr>
        <c:crossAx val="39083392"/>
        <c:crosses val="autoZero"/>
        <c:auto val="1"/>
        <c:lblAlgn val="ctr"/>
        <c:lblOffset val="100"/>
        <c:tickLblSkip val="1"/>
        <c:tickMarkSkip val="1"/>
      </c:catAx>
      <c:valAx>
        <c:axId val="39083392"/>
        <c:scaling>
          <c:orientation val="minMax"/>
          <c:max val="25000"/>
          <c:min val="0"/>
        </c:scaling>
        <c:axPos val="l"/>
        <c:numFmt formatCode="#,##0" sourceLinked="1"/>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39081856"/>
        <c:crosses val="autoZero"/>
        <c:crossBetween val="between"/>
      </c:valAx>
      <c:spPr>
        <a:solidFill>
          <a:srgbClr val="93CDDD"/>
        </a:solidFill>
        <a:ln w="12700">
          <a:solidFill>
            <a:srgbClr val="808080"/>
          </a:solidFill>
          <a:prstDash val="solid"/>
        </a:ln>
      </c:spPr>
    </c:plotArea>
    <c:legend>
      <c:legendPos val="b"/>
      <c:legendEntry>
        <c:idx val="0"/>
        <c:txPr>
          <a:bodyPr/>
          <a:lstStyle/>
          <a:p>
            <a:pPr>
              <a:defRPr sz="735" b="0" i="0" u="none" strike="noStrike" baseline="0">
                <a:solidFill>
                  <a:sysClr val="windowText" lastClr="000000"/>
                </a:solidFill>
                <a:latin typeface="Arial"/>
                <a:ea typeface="Arial"/>
                <a:cs typeface="Arial"/>
              </a:defRPr>
            </a:pPr>
            <a:endParaRPr lang="tr-TR"/>
          </a:p>
        </c:txPr>
      </c:legendEntry>
      <c:legendEntry>
        <c:idx val="1"/>
        <c:txPr>
          <a:bodyPr/>
          <a:lstStyle/>
          <a:p>
            <a:pPr>
              <a:defRPr sz="735" b="0" i="0" u="none" strike="noStrike" baseline="0">
                <a:solidFill>
                  <a:sysClr val="windowText" lastClr="000000"/>
                </a:solidFill>
                <a:latin typeface="Arial"/>
                <a:ea typeface="Arial"/>
                <a:cs typeface="Arial"/>
              </a:defRPr>
            </a:pPr>
            <a:endParaRPr lang="tr-TR"/>
          </a:p>
        </c:txPr>
      </c:legendEntry>
      <c:legendEntry>
        <c:idx val="2"/>
        <c:txPr>
          <a:bodyPr/>
          <a:lstStyle/>
          <a:p>
            <a:pPr>
              <a:defRPr sz="735" b="0" i="0" u="none" strike="noStrike" baseline="0">
                <a:solidFill>
                  <a:sysClr val="windowText" lastClr="000000"/>
                </a:solidFill>
                <a:latin typeface="Arial"/>
                <a:ea typeface="Arial"/>
                <a:cs typeface="Arial"/>
              </a:defRPr>
            </a:pPr>
            <a:endParaRPr lang="tr-TR"/>
          </a:p>
        </c:txPr>
      </c:legendEntry>
      <c:layout>
        <c:manualLayout>
          <c:xMode val="edge"/>
          <c:yMode val="edge"/>
          <c:x val="8.7774114740847703E-2"/>
          <c:y val="0.91713759508874948"/>
          <c:w val="0.83855797437085033"/>
          <c:h val="7.7212687397126417E-2"/>
        </c:manualLayout>
      </c:layout>
      <c:spPr>
        <a:solidFill>
          <a:srgbClr val="93CDDD"/>
        </a:solid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chart>
  <c:spPr>
    <a:solidFill>
      <a:srgbClr val="DBEEF4"/>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2011 Yılı İlk Altı Aylık Bütçe Uygulama Sonuçları</a:t>
            </a:r>
          </a:p>
        </c:rich>
      </c:tx>
      <c:layout>
        <c:manualLayout>
          <c:xMode val="edge"/>
          <c:yMode val="edge"/>
          <c:x val="0.21651097277761749"/>
          <c:y val="1.9417538561104522E-2"/>
        </c:manualLayout>
      </c:layout>
      <c:spPr>
        <a:noFill/>
        <a:ln w="25400">
          <a:noFill/>
        </a:ln>
      </c:spPr>
    </c:title>
    <c:plotArea>
      <c:layout>
        <c:manualLayout>
          <c:layoutTarget val="inner"/>
          <c:xMode val="edge"/>
          <c:yMode val="edge"/>
          <c:x val="0.11380595435862112"/>
          <c:y val="0.14805826424014878"/>
          <c:w val="0.82866043613707341"/>
          <c:h val="0.63106796116504849"/>
        </c:manualLayout>
      </c:layout>
      <c:barChart>
        <c:barDir val="col"/>
        <c:grouping val="clustered"/>
        <c:ser>
          <c:idx val="0"/>
          <c:order val="0"/>
          <c:tx>
            <c:strRef>
              <c:f>Sayfa1!$A$5</c:f>
              <c:strCache>
                <c:ptCount val="1"/>
                <c:pt idx="0">
                  <c:v>2011 Yılı Başlangıç Ödeneği (1000 TL)</c:v>
                </c:pt>
              </c:strCache>
            </c:strRef>
          </c:tx>
          <c:spPr>
            <a:solidFill>
              <a:srgbClr val="9B85B5"/>
            </a:solidFill>
            <a:ln w="12700">
              <a:solidFill>
                <a:srgbClr val="000000"/>
              </a:solidFill>
              <a:prstDash val="solid"/>
            </a:ln>
          </c:spPr>
          <c:dLbls>
            <c:dLbl>
              <c:idx val="0"/>
              <c:layout>
                <c:manualLayout>
                  <c:x val="-1.9296653338893449E-3"/>
                  <c:y val="6.7255306678898237E-3"/>
                </c:manualLayout>
              </c:layout>
              <c:dLblPos val="outEnd"/>
              <c:showVal val="1"/>
            </c:dLbl>
            <c:spPr>
              <a:noFill/>
              <a:ln w="25400">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11014</c:v>
                </c:pt>
                <c:pt idx="1">
                  <c:v>1806</c:v>
                </c:pt>
                <c:pt idx="2">
                  <c:v>1966</c:v>
                </c:pt>
                <c:pt idx="3">
                  <c:v>1341</c:v>
                </c:pt>
                <c:pt idx="4">
                  <c:v>3000</c:v>
                </c:pt>
              </c:numCache>
            </c:numRef>
          </c:val>
        </c:ser>
        <c:ser>
          <c:idx val="1"/>
          <c:order val="1"/>
          <c:tx>
            <c:strRef>
              <c:f>Sayfa1!$A$6</c:f>
              <c:strCache>
                <c:ptCount val="1"/>
                <c:pt idx="0">
                  <c:v>2011 Yılı İlk Altı Aylık Gerçekleşme (1000 TL)</c:v>
                </c:pt>
              </c:strCache>
            </c:strRef>
          </c:tx>
          <c:spPr>
            <a:solidFill>
              <a:srgbClr val="FF8989"/>
            </a:solidFill>
            <a:ln w="12700">
              <a:solidFill>
                <a:srgbClr val="000000"/>
              </a:solidFill>
              <a:prstDash val="solid"/>
            </a:ln>
          </c:spPr>
          <c:dLbls>
            <c:dLbl>
              <c:idx val="0"/>
              <c:layout>
                <c:manualLayout>
                  <c:x val="1.2642905618106189E-2"/>
                  <c:y val="-6.9061998318171039E-3"/>
                </c:manualLayout>
              </c:layout>
              <c:dLblPos val="outEnd"/>
              <c:showVal val="1"/>
            </c:dLbl>
            <c:dLbl>
              <c:idx val="1"/>
              <c:layout>
                <c:manualLayout>
                  <c:x val="1.2071691973082796E-2"/>
                  <c:y val="-6.3175598195856107E-3"/>
                </c:manualLayout>
              </c:layout>
              <c:dLblPos val="outEnd"/>
              <c:showVal val="1"/>
            </c:dLbl>
            <c:dLbl>
              <c:idx val="2"/>
              <c:layout>
                <c:manualLayout>
                  <c:x val="1.1448639013581235E-2"/>
                  <c:y val="-6.9423846291057694E-3"/>
                </c:manualLayout>
              </c:layout>
              <c:dLblPos val="outEnd"/>
              <c:showVal val="1"/>
            </c:dLbl>
            <c:dLbl>
              <c:idx val="4"/>
              <c:layout>
                <c:manualLayout>
                  <c:x val="1.331779789208592E-2"/>
                  <c:y val="-6.9291338582676814E-3"/>
                </c:manualLayout>
              </c:layout>
              <c:dLblPos val="outEnd"/>
              <c:showVal val="1"/>
            </c:dLbl>
            <c:spPr>
              <a:noFill/>
              <a:ln w="25400">
                <a:noFill/>
              </a:ln>
            </c:spPr>
            <c:txPr>
              <a:bodyPr/>
              <a:lstStyle/>
              <a:p>
                <a:pPr>
                  <a:defRPr sz="80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7918</c:v>
                </c:pt>
                <c:pt idx="1">
                  <c:v>1424</c:v>
                </c:pt>
                <c:pt idx="2">
                  <c:v>2283</c:v>
                </c:pt>
                <c:pt idx="3">
                  <c:v>31619</c:v>
                </c:pt>
                <c:pt idx="4">
                  <c:v>2936</c:v>
                </c:pt>
              </c:numCache>
            </c:numRef>
          </c:val>
        </c:ser>
        <c:ser>
          <c:idx val="2"/>
          <c:order val="2"/>
          <c:tx>
            <c:strRef>
              <c:f>Sayfa1!$A$7</c:f>
              <c:strCache>
                <c:ptCount val="1"/>
                <c:pt idx="0">
                  <c:v>Gerçekleşme Oranı</c:v>
                </c:pt>
              </c:strCache>
            </c:strRef>
          </c:tx>
          <c:spPr>
            <a:solidFill>
              <a:srgbClr val="00FF00"/>
            </a:solidFill>
            <a:ln w="12700">
              <a:solidFill>
                <a:srgbClr val="000000"/>
              </a:solidFill>
              <a:prstDash val="solid"/>
            </a:ln>
          </c:spPr>
          <c:dLbls>
            <c:dLbl>
              <c:idx val="0"/>
              <c:layout>
                <c:manualLayout>
                  <c:x val="-5.7832282113963934E-2"/>
                  <c:y val="-0.26237445319335118"/>
                </c:manualLayout>
              </c:layout>
              <c:dLblPos val="outEnd"/>
              <c:showVal val="1"/>
            </c:dLbl>
            <c:dLbl>
              <c:idx val="1"/>
              <c:layout>
                <c:manualLayout>
                  <c:x val="-6.6478662722905771E-2"/>
                  <c:y val="-8.3529658792651146E-2"/>
                </c:manualLayout>
              </c:layout>
              <c:dLblPos val="outEnd"/>
              <c:showVal val="1"/>
            </c:dLbl>
            <c:dLbl>
              <c:idx val="2"/>
              <c:layout>
                <c:manualLayout>
                  <c:x val="-5.6395960796495684E-2"/>
                  <c:y val="-8.3182152230971113E-2"/>
                </c:manualLayout>
              </c:layout>
              <c:dLblPos val="outEnd"/>
              <c:showVal val="1"/>
            </c:dLbl>
            <c:dLbl>
              <c:idx val="3"/>
              <c:layout>
                <c:manualLayout>
                  <c:x val="-8.2336543266568529E-2"/>
                  <c:y val="-9.933948653769277E-2"/>
                </c:manualLayout>
              </c:layout>
              <c:tx>
                <c:rich>
                  <a:bodyPr/>
                  <a:lstStyle/>
                  <a:p>
                    <a:r>
                      <a:rPr lang="tr-TR"/>
                      <a:t>200%</a:t>
                    </a:r>
                  </a:p>
                </c:rich>
              </c:tx>
              <c:dLblPos val="outEnd"/>
            </c:dLbl>
            <c:dLbl>
              <c:idx val="4"/>
              <c:layout>
                <c:manualLayout>
                  <c:x val="-5.9199632635972027E-2"/>
                  <c:y val="-0.10387716535433063"/>
                </c:manualLayout>
              </c:layout>
              <c:dLblPos val="outEnd"/>
              <c:showVal val="1"/>
            </c:dLbl>
            <c:numFmt formatCode="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c:formatCode>
                <c:ptCount val="5"/>
                <c:pt idx="0">
                  <c:v>0.71890321409115698</c:v>
                </c:pt>
                <c:pt idx="1">
                  <c:v>0.7884828349944627</c:v>
                </c:pt>
                <c:pt idx="2">
                  <c:v>1.1612410986775179</c:v>
                </c:pt>
                <c:pt idx="3">
                  <c:v>23.578672632363887</c:v>
                </c:pt>
                <c:pt idx="4">
                  <c:v>0.97866666666666668</c:v>
                </c:pt>
              </c:numCache>
            </c:numRef>
          </c:val>
        </c:ser>
        <c:dLbls>
          <c:showVal val="1"/>
        </c:dLbls>
        <c:axId val="70293760"/>
        <c:axId val="70332416"/>
      </c:barChart>
      <c:catAx>
        <c:axId val="70293760"/>
        <c:scaling>
          <c:orientation val="minMax"/>
        </c:scaling>
        <c:axPos val="b"/>
        <c:numFmt formatCode="General" sourceLinked="1"/>
        <c:tickLblPos val="nextTo"/>
        <c:spPr>
          <a:ln w="3175">
            <a:solidFill>
              <a:srgbClr val="000000"/>
            </a:solidFill>
            <a:prstDash val="solid"/>
          </a:ln>
        </c:spPr>
        <c:txPr>
          <a:bodyPr rot="0" vert="horz"/>
          <a:lstStyle/>
          <a:p>
            <a:pPr>
              <a:defRPr sz="700" b="0" i="0" u="none" strike="noStrike" baseline="0">
                <a:solidFill>
                  <a:schemeClr val="tx1"/>
                </a:solidFill>
                <a:latin typeface="Arial"/>
                <a:ea typeface="Arial"/>
                <a:cs typeface="Arial"/>
              </a:defRPr>
            </a:pPr>
            <a:endParaRPr lang="tr-TR"/>
          </a:p>
        </c:txPr>
        <c:crossAx val="70332416"/>
        <c:crossesAt val="0"/>
        <c:auto val="1"/>
        <c:lblAlgn val="ctr"/>
        <c:lblOffset val="100"/>
        <c:tickLblSkip val="1"/>
        <c:tickMarkSkip val="1"/>
      </c:catAx>
      <c:valAx>
        <c:axId val="70332416"/>
        <c:scaling>
          <c:orientation val="minMax"/>
          <c:max val="35000"/>
          <c:min val="0"/>
        </c:scaling>
        <c:axPos val="l"/>
        <c:numFmt formatCode="#,##0" sourceLinked="1"/>
        <c:tickLblPos val="nextTo"/>
        <c:spPr>
          <a:ln w="3175">
            <a:solidFill>
              <a:srgbClr val="000000"/>
            </a:solidFill>
            <a:prstDash val="solid"/>
          </a:ln>
        </c:spPr>
        <c:txPr>
          <a:bodyPr rot="0" vert="horz"/>
          <a:lstStyle/>
          <a:p>
            <a:pPr>
              <a:defRPr sz="900" b="0" i="0" u="none" strike="noStrike" baseline="0">
                <a:solidFill>
                  <a:schemeClr val="tx1"/>
                </a:solidFill>
                <a:latin typeface="Arial"/>
                <a:ea typeface="Arial"/>
                <a:cs typeface="Arial"/>
              </a:defRPr>
            </a:pPr>
            <a:endParaRPr lang="tr-TR"/>
          </a:p>
        </c:txPr>
        <c:crossAx val="70293760"/>
        <c:crossesAt val="1"/>
        <c:crossBetween val="between"/>
        <c:majorUnit val="5000"/>
      </c:valAx>
      <c:spPr>
        <a:solidFill>
          <a:srgbClr val="93CDDD"/>
        </a:solidFill>
        <a:ln w="12700">
          <a:solidFill>
            <a:srgbClr val="808080"/>
          </a:solidFill>
          <a:prstDash val="solid"/>
        </a:ln>
      </c:spPr>
    </c:plotArea>
    <c:legend>
      <c:legendPos val="b"/>
      <c:layout>
        <c:manualLayout>
          <c:xMode val="edge"/>
          <c:yMode val="edge"/>
          <c:x val="8.4171258697374893E-2"/>
          <c:y val="0.91817531370222549"/>
          <c:w val="0.88939458483919909"/>
          <c:h val="7.697012188544973E-2"/>
        </c:manualLayout>
      </c:layout>
      <c:spPr>
        <a:solidFill>
          <a:schemeClr val="accent5">
            <a:lumMod val="60000"/>
            <a:lumOff val="40000"/>
          </a:schemeClr>
        </a:solid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chart>
  <c:spPr>
    <a:solidFill>
      <a:srgbClr val="DBEEF4"/>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2012 Yılı İlk Altı Aylık Bütçe Uygulama Sonuçları</a:t>
            </a:r>
          </a:p>
        </c:rich>
      </c:tx>
      <c:layout>
        <c:manualLayout>
          <c:xMode val="edge"/>
          <c:yMode val="edge"/>
          <c:x val="0.20358295248059041"/>
          <c:y val="2.0134068607277792E-2"/>
        </c:manualLayout>
      </c:layout>
      <c:spPr>
        <a:noFill/>
        <a:ln w="25400">
          <a:noFill/>
        </a:ln>
      </c:spPr>
    </c:title>
    <c:plotArea>
      <c:layout>
        <c:manualLayout>
          <c:layoutTarget val="inner"/>
          <c:xMode val="edge"/>
          <c:yMode val="edge"/>
          <c:x val="0.10912052117263873"/>
          <c:y val="0.15659955257270747"/>
          <c:w val="0.8355048859934856"/>
          <c:h val="0.60626398210290711"/>
        </c:manualLayout>
      </c:layout>
      <c:barChart>
        <c:barDir val="col"/>
        <c:grouping val="clustered"/>
        <c:ser>
          <c:idx val="0"/>
          <c:order val="0"/>
          <c:tx>
            <c:strRef>
              <c:f>Sayfa1!$A$5</c:f>
              <c:strCache>
                <c:ptCount val="1"/>
                <c:pt idx="0">
                  <c:v>2012 Yılı Başlangıç Ödeneği (1000 TL)</c:v>
                </c:pt>
              </c:strCache>
            </c:strRef>
          </c:tx>
          <c:spPr>
            <a:solidFill>
              <a:srgbClr val="927AAE"/>
            </a:solidFill>
            <a:ln w="12700">
              <a:solidFill>
                <a:srgbClr val="000000"/>
              </a:solidFill>
              <a:prstDash val="solid"/>
            </a:ln>
          </c:spPr>
          <c:dLbls>
            <c:dLbl>
              <c:idx val="0"/>
              <c:layout>
                <c:manualLayout>
                  <c:x val="-2.8777347456975167E-4"/>
                  <c:y val="8.4978303886510866E-3"/>
                </c:manualLayout>
              </c:layout>
              <c:dLblPos val="outEnd"/>
              <c:showVal val="1"/>
            </c:dLbl>
            <c:spPr>
              <a:noFill/>
              <a:ln w="25400">
                <a:noFill/>
              </a:ln>
            </c:spPr>
            <c:txPr>
              <a:bodyPr/>
              <a:lstStyle/>
              <a:p>
                <a:pPr>
                  <a:defRPr sz="85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Sayfa1!$B$5:$F$5</c:f>
              <c:numCache>
                <c:formatCode>#,##0</c:formatCode>
                <c:ptCount val="5"/>
                <c:pt idx="0">
                  <c:v>19242</c:v>
                </c:pt>
                <c:pt idx="1">
                  <c:v>3262</c:v>
                </c:pt>
                <c:pt idx="2">
                  <c:v>2257</c:v>
                </c:pt>
                <c:pt idx="3">
                  <c:v>1215</c:v>
                </c:pt>
                <c:pt idx="4">
                  <c:v>3000</c:v>
                </c:pt>
              </c:numCache>
            </c:numRef>
          </c:val>
        </c:ser>
        <c:ser>
          <c:idx val="1"/>
          <c:order val="1"/>
          <c:tx>
            <c:strRef>
              <c:f>Sayfa1!$A$6</c:f>
              <c:strCache>
                <c:ptCount val="1"/>
                <c:pt idx="0">
                  <c:v>2012 Yılı İlk Altı Aylık Gerçekleşme (1000 TL)</c:v>
                </c:pt>
              </c:strCache>
            </c:strRef>
          </c:tx>
          <c:spPr>
            <a:solidFill>
              <a:srgbClr val="FF8989"/>
            </a:solidFill>
            <a:ln w="12700">
              <a:solidFill>
                <a:srgbClr val="000000"/>
              </a:solidFill>
              <a:prstDash val="solid"/>
            </a:ln>
          </c:spPr>
          <c:dLbls>
            <c:dLbl>
              <c:idx val="0"/>
              <c:layout>
                <c:manualLayout>
                  <c:x val="1.6324604375593115E-2"/>
                  <c:y val="-3.7790578191148742E-3"/>
                </c:manualLayout>
              </c:layout>
              <c:dLblPos val="outEnd"/>
              <c:showVal val="1"/>
            </c:dLbl>
            <c:dLbl>
              <c:idx val="1"/>
              <c:layout>
                <c:manualLayout>
                  <c:x val="1.5103063257158001E-2"/>
                  <c:y val="-4.6710939656032981E-3"/>
                </c:manualLayout>
              </c:layout>
              <c:dLblPos val="outEnd"/>
              <c:showVal val="1"/>
            </c:dLbl>
            <c:dLbl>
              <c:idx val="2"/>
              <c:layout>
                <c:manualLayout>
                  <c:x val="1.412586456008964E-2"/>
                  <c:y val="-5.4412325976032133E-3"/>
                </c:manualLayout>
              </c:layout>
              <c:dLblPos val="outEnd"/>
              <c:showVal val="1"/>
            </c:dLbl>
            <c:dLbl>
              <c:idx val="4"/>
              <c:layout>
                <c:manualLayout>
                  <c:x val="2.5012543779030786E-2"/>
                  <c:y val="-6.3234589902590123E-4"/>
                </c:manualLayout>
              </c:layout>
              <c:showVal val="1"/>
            </c:dLbl>
            <c:spPr>
              <a:noFill/>
              <a:ln w="25400">
                <a:noFill/>
              </a:ln>
            </c:spPr>
            <c:txPr>
              <a:bodyPr/>
              <a:lstStyle/>
              <a:p>
                <a:pPr>
                  <a:defRPr sz="850" b="1" i="0" u="none" strike="noStrike" baseline="0">
                    <a:solidFill>
                      <a:schemeClr val="tx1"/>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Sayfa1!$B$6:$F$6</c:f>
              <c:numCache>
                <c:formatCode>#,##0</c:formatCode>
                <c:ptCount val="5"/>
                <c:pt idx="0">
                  <c:v>10499</c:v>
                </c:pt>
                <c:pt idx="1">
                  <c:v>1755</c:v>
                </c:pt>
                <c:pt idx="2">
                  <c:v>3483</c:v>
                </c:pt>
                <c:pt idx="3">
                  <c:v>296947</c:v>
                </c:pt>
                <c:pt idx="4">
                  <c:v>108</c:v>
                </c:pt>
              </c:numCache>
            </c:numRef>
          </c:val>
        </c:ser>
        <c:ser>
          <c:idx val="2"/>
          <c:order val="2"/>
          <c:tx>
            <c:strRef>
              <c:f>Sayfa1!$A$7</c:f>
              <c:strCache>
                <c:ptCount val="1"/>
                <c:pt idx="0">
                  <c:v>Gerçekleşme Oranı</c:v>
                </c:pt>
              </c:strCache>
            </c:strRef>
          </c:tx>
          <c:spPr>
            <a:solidFill>
              <a:srgbClr val="00FF00"/>
            </a:solidFill>
            <a:ln w="12700">
              <a:solidFill>
                <a:srgbClr val="000000"/>
              </a:solidFill>
              <a:prstDash val="solid"/>
            </a:ln>
          </c:spPr>
          <c:dLbls>
            <c:dLbl>
              <c:idx val="0"/>
              <c:layout>
                <c:manualLayout>
                  <c:x val="-6.7101848861952113E-2"/>
                  <c:y val="-0.10122044213295517"/>
                </c:manualLayout>
              </c:layout>
              <c:dLblPos val="outEnd"/>
              <c:showVal val="1"/>
            </c:dLbl>
            <c:dLbl>
              <c:idx val="1"/>
              <c:layout>
                <c:manualLayout>
                  <c:x val="-4.7201039933099882E-2"/>
                  <c:y val="-6.8694634879647123E-2"/>
                </c:manualLayout>
              </c:layout>
              <c:dLblPos val="outEnd"/>
              <c:showVal val="1"/>
            </c:dLbl>
            <c:dLbl>
              <c:idx val="2"/>
              <c:layout>
                <c:manualLayout>
                  <c:x val="-5.1131755218294828E-2"/>
                  <c:y val="-6.1150127596637016E-2"/>
                </c:manualLayout>
              </c:layout>
              <c:tx>
                <c:rich>
                  <a:bodyPr/>
                  <a:lstStyle/>
                  <a:p>
                    <a:r>
                      <a:rPr lang="tr-TR"/>
                      <a:t>1,54 </a:t>
                    </a:r>
                    <a:endParaRPr lang="en-US"/>
                  </a:p>
                </c:rich>
              </c:tx>
              <c:dLblPos val="outEnd"/>
              <c:showVal val="1"/>
            </c:dLbl>
            <c:dLbl>
              <c:idx val="3"/>
              <c:layout>
                <c:manualLayout>
                  <c:x val="-9.488495326096856E-2"/>
                  <c:y val="-0.16223018312087453"/>
                </c:manualLayout>
              </c:layout>
              <c:dLblPos val="outEnd"/>
              <c:showVal val="1"/>
            </c:dLbl>
            <c:dLbl>
              <c:idx val="4"/>
              <c:layout>
                <c:manualLayout>
                  <c:x val="-5.5736439885077566E-2"/>
                  <c:y val="-5.8177519957811362E-2"/>
                </c:manualLayout>
              </c:layout>
              <c:dLblPos val="outEnd"/>
              <c:showVal val="1"/>
            </c:dLbl>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showVal val="1"/>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Sayfa1!$B$7:$F$7</c:f>
              <c:numCache>
                <c:formatCode>0.00</c:formatCode>
                <c:ptCount val="5"/>
                <c:pt idx="0">
                  <c:v>0.54562935245816502</c:v>
                </c:pt>
                <c:pt idx="1">
                  <c:v>0.53801348865726528</c:v>
                </c:pt>
                <c:pt idx="2">
                  <c:v>1.5431989366415599</c:v>
                </c:pt>
                <c:pt idx="3">
                  <c:v>244.40082304526749</c:v>
                </c:pt>
                <c:pt idx="4">
                  <c:v>3.5999999999999997E-2</c:v>
                </c:pt>
              </c:numCache>
            </c:numRef>
          </c:val>
        </c:ser>
        <c:dLbls>
          <c:showVal val="1"/>
        </c:dLbls>
        <c:axId val="70375680"/>
        <c:axId val="70856704"/>
      </c:barChart>
      <c:catAx>
        <c:axId val="70375680"/>
        <c:scaling>
          <c:orientation val="minMax"/>
        </c:scaling>
        <c:axPos val="b"/>
        <c:numFmt formatCode="General" sourceLinked="1"/>
        <c:tickLblPos val="nextTo"/>
        <c:spPr>
          <a:ln w="3175">
            <a:solidFill>
              <a:srgbClr val="000000"/>
            </a:solidFill>
            <a:prstDash val="solid"/>
          </a:ln>
        </c:spPr>
        <c:txPr>
          <a:bodyPr rot="0" vert="horz"/>
          <a:lstStyle/>
          <a:p>
            <a:pPr>
              <a:defRPr sz="700" b="0" i="0" u="none" strike="noStrike" baseline="0">
                <a:solidFill>
                  <a:schemeClr val="tx1"/>
                </a:solidFill>
                <a:latin typeface="Arial"/>
                <a:ea typeface="Arial"/>
                <a:cs typeface="Arial"/>
              </a:defRPr>
            </a:pPr>
            <a:endParaRPr lang="tr-TR"/>
          </a:p>
        </c:txPr>
        <c:crossAx val="70856704"/>
        <c:crosses val="autoZero"/>
        <c:auto val="1"/>
        <c:lblAlgn val="ctr"/>
        <c:lblOffset val="100"/>
        <c:tickLblSkip val="1"/>
        <c:tickMarkSkip val="1"/>
      </c:catAx>
      <c:valAx>
        <c:axId val="70856704"/>
        <c:scaling>
          <c:orientation val="minMax"/>
          <c:max val="300000"/>
          <c:min val="0"/>
        </c:scaling>
        <c:axPos val="l"/>
        <c:numFmt formatCode="#,##0" sourceLinked="1"/>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70375680"/>
        <c:crosses val="autoZero"/>
        <c:crossBetween val="between"/>
      </c:valAx>
      <c:spPr>
        <a:solidFill>
          <a:srgbClr val="93CDDD"/>
        </a:solidFill>
        <a:ln w="12700">
          <a:solidFill>
            <a:srgbClr val="808080"/>
          </a:solidFill>
          <a:prstDash val="solid"/>
        </a:ln>
      </c:spPr>
    </c:plotArea>
    <c:legend>
      <c:legendPos val="b"/>
      <c:layout>
        <c:manualLayout>
          <c:xMode val="edge"/>
          <c:yMode val="edge"/>
          <c:x val="8.5901657397720405E-2"/>
          <c:y val="0.90156620666319165"/>
          <c:w val="0.89231448341684527"/>
          <c:h val="9.1722315198404777E-2"/>
        </c:manualLayout>
      </c:layout>
      <c:spPr>
        <a:solidFill>
          <a:srgbClr val="82C6D8"/>
        </a:solid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chart>
  <c:spPr>
    <a:solidFill>
      <a:srgbClr val="DBEEF4"/>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B811-FE0D-42EF-81BC-F19E8A8C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7</Pages>
  <Words>1276</Words>
  <Characters>9569</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3900</dc:creator>
  <cp:lastModifiedBy>zerrin.karadag</cp:lastModifiedBy>
  <cp:revision>13</cp:revision>
  <cp:lastPrinted>2012-07-23T08:47:00Z</cp:lastPrinted>
  <dcterms:created xsi:type="dcterms:W3CDTF">2012-07-19T07:44:00Z</dcterms:created>
  <dcterms:modified xsi:type="dcterms:W3CDTF">2012-08-01T06:23:00Z</dcterms:modified>
</cp:coreProperties>
</file>