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E3F" w:rsidRPr="005957A3" w:rsidRDefault="00850E3F" w:rsidP="004E1788">
      <w:pPr>
        <w:ind w:right="72"/>
        <w:jc w:val="both"/>
        <w:rPr>
          <w:b/>
          <w:color w:val="000080"/>
          <w:sz w:val="20"/>
          <w:szCs w:val="20"/>
        </w:rPr>
      </w:pPr>
    </w:p>
    <w:p w:rsidR="002E48D2" w:rsidRPr="005957A3" w:rsidRDefault="002E48D2" w:rsidP="002E4ABE">
      <w:pPr>
        <w:ind w:left="1800" w:right="72" w:firstLine="720"/>
        <w:jc w:val="both"/>
        <w:rPr>
          <w:b/>
          <w:color w:val="000080"/>
          <w:sz w:val="20"/>
          <w:szCs w:val="20"/>
        </w:rPr>
      </w:pPr>
    </w:p>
    <w:p w:rsidR="002E48D2" w:rsidRPr="005957A3" w:rsidRDefault="002E48D2" w:rsidP="002E4ABE">
      <w:pPr>
        <w:ind w:left="1800" w:right="72" w:firstLine="720"/>
        <w:jc w:val="both"/>
        <w:rPr>
          <w:b/>
          <w:color w:val="000080"/>
          <w:sz w:val="20"/>
          <w:szCs w:val="20"/>
        </w:rPr>
      </w:pPr>
    </w:p>
    <w:p w:rsidR="002E48D2" w:rsidRPr="005957A3" w:rsidRDefault="002E48D2" w:rsidP="002E4ABE">
      <w:pPr>
        <w:ind w:left="1800" w:right="72" w:firstLine="720"/>
        <w:jc w:val="both"/>
        <w:rPr>
          <w:b/>
          <w:color w:val="000080"/>
          <w:sz w:val="20"/>
          <w:szCs w:val="20"/>
        </w:rPr>
      </w:pPr>
    </w:p>
    <w:p w:rsidR="002E48D2" w:rsidRPr="005957A3" w:rsidRDefault="002E48D2" w:rsidP="002E4ABE">
      <w:pPr>
        <w:ind w:left="1800" w:right="72" w:firstLine="720"/>
        <w:jc w:val="both"/>
        <w:rPr>
          <w:b/>
          <w:color w:val="000080"/>
          <w:sz w:val="20"/>
          <w:szCs w:val="20"/>
        </w:rPr>
      </w:pPr>
    </w:p>
    <w:p w:rsidR="002E48D2" w:rsidRPr="005957A3" w:rsidRDefault="002E48D2" w:rsidP="002E4ABE">
      <w:pPr>
        <w:ind w:left="1800" w:right="72" w:firstLine="720"/>
        <w:jc w:val="both"/>
        <w:rPr>
          <w:b/>
          <w:color w:val="000080"/>
          <w:sz w:val="20"/>
          <w:szCs w:val="20"/>
        </w:rPr>
      </w:pPr>
    </w:p>
    <w:p w:rsidR="002E48D2" w:rsidRPr="005957A3" w:rsidRDefault="002E48D2" w:rsidP="002E4ABE">
      <w:pPr>
        <w:ind w:left="1800" w:right="72" w:firstLine="720"/>
        <w:jc w:val="both"/>
        <w:rPr>
          <w:b/>
          <w:color w:val="000080"/>
          <w:sz w:val="20"/>
          <w:szCs w:val="20"/>
        </w:rPr>
      </w:pPr>
    </w:p>
    <w:p w:rsidR="002E48D2" w:rsidRPr="005957A3" w:rsidRDefault="002E48D2" w:rsidP="002E4ABE">
      <w:pPr>
        <w:ind w:left="1800" w:right="72" w:firstLine="720"/>
        <w:jc w:val="both"/>
        <w:rPr>
          <w:b/>
          <w:color w:val="000080"/>
          <w:sz w:val="20"/>
          <w:szCs w:val="20"/>
        </w:rPr>
      </w:pPr>
    </w:p>
    <w:p w:rsidR="002E48D2" w:rsidRPr="005957A3" w:rsidRDefault="002E48D2" w:rsidP="002E4ABE">
      <w:pPr>
        <w:ind w:left="1800" w:right="72" w:firstLine="720"/>
        <w:jc w:val="both"/>
        <w:rPr>
          <w:b/>
          <w:color w:val="000080"/>
          <w:sz w:val="20"/>
          <w:szCs w:val="20"/>
        </w:rPr>
      </w:pPr>
    </w:p>
    <w:p w:rsidR="002E48D2" w:rsidRPr="005957A3" w:rsidRDefault="002E48D2" w:rsidP="002E4ABE">
      <w:pPr>
        <w:ind w:left="1800" w:right="72" w:firstLine="720"/>
        <w:jc w:val="both"/>
        <w:rPr>
          <w:b/>
          <w:color w:val="000080"/>
          <w:sz w:val="20"/>
          <w:szCs w:val="20"/>
        </w:rPr>
      </w:pPr>
    </w:p>
    <w:p w:rsidR="000D5776" w:rsidRPr="005957A3" w:rsidRDefault="000D5776" w:rsidP="003D11D4">
      <w:pPr>
        <w:ind w:right="72"/>
        <w:jc w:val="both"/>
        <w:rPr>
          <w:b/>
          <w:color w:val="000080"/>
          <w:sz w:val="22"/>
          <w:szCs w:val="22"/>
        </w:rPr>
      </w:pPr>
    </w:p>
    <w:p w:rsidR="000D5776" w:rsidRPr="005957A3" w:rsidRDefault="000D5776" w:rsidP="002E4ABE">
      <w:pPr>
        <w:ind w:left="1800" w:right="72" w:firstLine="720"/>
        <w:jc w:val="both"/>
        <w:rPr>
          <w:b/>
          <w:color w:val="000080"/>
          <w:sz w:val="22"/>
          <w:szCs w:val="22"/>
        </w:rPr>
      </w:pPr>
    </w:p>
    <w:p w:rsidR="0089084D" w:rsidRPr="003E0AC9" w:rsidRDefault="0089084D" w:rsidP="0089084D">
      <w:pPr>
        <w:tabs>
          <w:tab w:val="left" w:pos="567"/>
        </w:tabs>
        <w:jc w:val="center"/>
        <w:rPr>
          <w:b/>
          <w:sz w:val="28"/>
          <w:szCs w:val="28"/>
        </w:rPr>
      </w:pPr>
      <w:r w:rsidRPr="003E0AC9">
        <w:rPr>
          <w:b/>
          <w:sz w:val="28"/>
          <w:szCs w:val="28"/>
        </w:rPr>
        <w:t xml:space="preserve">YÜKSEKÖĞRETİM KURULU </w:t>
      </w:r>
    </w:p>
    <w:p w:rsidR="00A842BE" w:rsidRPr="003E0AC9" w:rsidRDefault="00A842BE" w:rsidP="0089084D">
      <w:pPr>
        <w:tabs>
          <w:tab w:val="left" w:pos="567"/>
        </w:tabs>
        <w:jc w:val="center"/>
        <w:rPr>
          <w:b/>
          <w:sz w:val="28"/>
          <w:szCs w:val="28"/>
        </w:rPr>
      </w:pPr>
    </w:p>
    <w:p w:rsidR="0089084D" w:rsidRPr="003E0AC9" w:rsidRDefault="00C01602" w:rsidP="003B0A6F">
      <w:pPr>
        <w:tabs>
          <w:tab w:val="left" w:pos="567"/>
        </w:tabs>
        <w:jc w:val="center"/>
        <w:rPr>
          <w:b/>
          <w:sz w:val="28"/>
          <w:szCs w:val="28"/>
        </w:rPr>
      </w:pPr>
      <w:r w:rsidRPr="003E0AC9">
        <w:rPr>
          <w:b/>
          <w:sz w:val="28"/>
          <w:szCs w:val="28"/>
        </w:rPr>
        <w:t xml:space="preserve">        </w:t>
      </w:r>
      <w:r w:rsidR="0089084D" w:rsidRPr="003E0AC9">
        <w:rPr>
          <w:b/>
          <w:sz w:val="28"/>
          <w:szCs w:val="28"/>
        </w:rPr>
        <w:t>20</w:t>
      </w:r>
      <w:r w:rsidR="00FE7C01" w:rsidRPr="003E0AC9">
        <w:rPr>
          <w:b/>
          <w:sz w:val="28"/>
          <w:szCs w:val="28"/>
        </w:rPr>
        <w:t>1</w:t>
      </w:r>
      <w:r w:rsidR="003E0AC9" w:rsidRPr="003E0AC9">
        <w:rPr>
          <w:b/>
          <w:sz w:val="28"/>
          <w:szCs w:val="28"/>
        </w:rPr>
        <w:t>3</w:t>
      </w:r>
      <w:r w:rsidR="0089084D" w:rsidRPr="003E0AC9">
        <w:rPr>
          <w:b/>
          <w:sz w:val="28"/>
          <w:szCs w:val="28"/>
        </w:rPr>
        <w:t xml:space="preserve"> YILI KURUMSAL MALİ DURUM VE BEKLENTİLER RAPORU</w:t>
      </w:r>
    </w:p>
    <w:p w:rsidR="00FD4C3E" w:rsidRPr="005957A3" w:rsidRDefault="00FD4C3E" w:rsidP="00FD4C3E">
      <w:pPr>
        <w:ind w:left="1800" w:right="72" w:firstLine="720"/>
        <w:jc w:val="both"/>
        <w:rPr>
          <w:b/>
          <w:color w:val="000080"/>
          <w:sz w:val="26"/>
          <w:szCs w:val="26"/>
        </w:rPr>
      </w:pPr>
    </w:p>
    <w:p w:rsidR="00FD4C3E" w:rsidRPr="005957A3" w:rsidRDefault="00FD4C3E" w:rsidP="00FD4C3E">
      <w:pPr>
        <w:ind w:left="1800" w:right="72" w:firstLine="720"/>
        <w:jc w:val="both"/>
        <w:rPr>
          <w:b/>
          <w:color w:val="000080"/>
          <w:sz w:val="26"/>
          <w:szCs w:val="26"/>
        </w:rPr>
      </w:pPr>
    </w:p>
    <w:p w:rsidR="00A842BE" w:rsidRPr="005957A3" w:rsidRDefault="00A842BE" w:rsidP="00FD4C3E">
      <w:pPr>
        <w:ind w:left="1800" w:right="72" w:firstLine="720"/>
        <w:jc w:val="both"/>
        <w:rPr>
          <w:b/>
          <w:color w:val="000080"/>
          <w:sz w:val="26"/>
          <w:szCs w:val="26"/>
        </w:rPr>
      </w:pPr>
    </w:p>
    <w:p w:rsidR="00FD4C3E" w:rsidRPr="005957A3" w:rsidRDefault="00FD4C3E" w:rsidP="00FD4C3E">
      <w:pPr>
        <w:ind w:left="1800" w:right="72" w:firstLine="720"/>
        <w:jc w:val="both"/>
        <w:rPr>
          <w:b/>
          <w:sz w:val="26"/>
          <w:szCs w:val="26"/>
        </w:rPr>
      </w:pPr>
    </w:p>
    <w:p w:rsidR="009A74F0" w:rsidRPr="0091078F" w:rsidRDefault="009A74F0" w:rsidP="003E0AC9">
      <w:pPr>
        <w:ind w:left="851" w:right="567" w:firstLine="565"/>
        <w:jc w:val="both"/>
      </w:pPr>
      <w:r w:rsidRPr="0091078F">
        <w:t>5018 sayılı Kamu Mali Y</w:t>
      </w:r>
      <w:r w:rsidR="003F533E" w:rsidRPr="0091078F">
        <w:t xml:space="preserve">önetimi ve Kontrol Kanununun 30 </w:t>
      </w:r>
      <w:r w:rsidRPr="0091078F">
        <w:t>uncu maddesinde, genel yönetim kapsamındaki idarelerin, ilk altı aylık bütçe uygulama sonuçları, ikinci altı aya ilişkin beklentiler ve hedefler ile faaliyetlerini Temmuz ayı içinde kamuoyuna açıklayacakları hükme bağlanmıştır.</w:t>
      </w:r>
    </w:p>
    <w:p w:rsidR="001B06F4" w:rsidRPr="0091078F" w:rsidRDefault="001B06F4" w:rsidP="003E0AC9">
      <w:pPr>
        <w:ind w:left="851" w:right="567"/>
        <w:jc w:val="both"/>
      </w:pPr>
    </w:p>
    <w:p w:rsidR="00EE0C53" w:rsidRPr="0091078F" w:rsidRDefault="001B06F4" w:rsidP="003E0AC9">
      <w:pPr>
        <w:ind w:left="851" w:right="567" w:firstLine="565"/>
        <w:jc w:val="both"/>
      </w:pPr>
      <w:r w:rsidRPr="0091078F">
        <w:t>Söz</w:t>
      </w:r>
      <w:r w:rsidR="002E48D2" w:rsidRPr="0091078F">
        <w:t xml:space="preserve"> </w:t>
      </w:r>
      <w:r w:rsidRPr="0091078F">
        <w:t xml:space="preserve">konusu </w:t>
      </w:r>
      <w:r w:rsidR="00EE0C53" w:rsidRPr="0091078F">
        <w:t>düzenleme</w:t>
      </w:r>
      <w:r w:rsidR="00F80379" w:rsidRPr="0091078F">
        <w:t xml:space="preserve"> </w:t>
      </w:r>
      <w:r w:rsidR="002E48D2" w:rsidRPr="0091078F">
        <w:t>ile</w:t>
      </w:r>
      <w:r w:rsidR="00EE0C53" w:rsidRPr="0091078F">
        <w:t xml:space="preserve"> k</w:t>
      </w:r>
      <w:r w:rsidR="009A74F0" w:rsidRPr="0091078F">
        <w:t>amu hizmetlerinin yürütülmesinde ve bütçe uygulamalarında saydamlığın ve hesap verilebilirliğin artır</w:t>
      </w:r>
      <w:r w:rsidR="00823C01" w:rsidRPr="0091078F">
        <w:t xml:space="preserve">ılması, </w:t>
      </w:r>
      <w:r w:rsidR="009A74F0" w:rsidRPr="0091078F">
        <w:t>kamuoyunun kamu idareleri üzerindeki genel denetim ve gözetim fonksiyonunun gereği şekilde gerçekleştirilmesini</w:t>
      </w:r>
      <w:r w:rsidR="00674BE8" w:rsidRPr="0091078F">
        <w:t>n</w:t>
      </w:r>
      <w:r w:rsidR="009A74F0" w:rsidRPr="0091078F">
        <w:t xml:space="preserve"> sağla</w:t>
      </w:r>
      <w:r w:rsidR="00674BE8" w:rsidRPr="0091078F">
        <w:t xml:space="preserve">nması </w:t>
      </w:r>
      <w:r w:rsidR="00EE0C53" w:rsidRPr="0091078F">
        <w:t>amaçlanmıştır.</w:t>
      </w:r>
    </w:p>
    <w:p w:rsidR="001B06F4" w:rsidRPr="0091078F" w:rsidRDefault="001B06F4" w:rsidP="003E0AC9">
      <w:pPr>
        <w:ind w:left="851" w:right="567"/>
        <w:jc w:val="both"/>
      </w:pPr>
    </w:p>
    <w:p w:rsidR="009A74F0" w:rsidRPr="0091078F" w:rsidRDefault="00EE0C53" w:rsidP="003E0AC9">
      <w:pPr>
        <w:ind w:left="851" w:right="567" w:firstLine="565"/>
        <w:jc w:val="both"/>
      </w:pPr>
      <w:r w:rsidRPr="0091078F">
        <w:t>Bu amaç doğrultusunda, g</w:t>
      </w:r>
      <w:r w:rsidR="00D866D4" w:rsidRPr="0091078F">
        <w:t xml:space="preserve">enel </w:t>
      </w:r>
      <w:r w:rsidR="00823C01" w:rsidRPr="0091078F">
        <w:t>yönetim</w:t>
      </w:r>
      <w:r w:rsidR="00D866D4" w:rsidRPr="0091078F">
        <w:t xml:space="preserve"> kapsamındaki kamu idareleri arasında yer alan </w:t>
      </w:r>
      <w:r w:rsidR="003E0AC9" w:rsidRPr="0091078F">
        <w:t xml:space="preserve">Yükseköğretim Kurulu </w:t>
      </w:r>
      <w:r w:rsidR="00D866D4" w:rsidRPr="0091078F">
        <w:t>Başkanlığı</w:t>
      </w:r>
      <w:r w:rsidR="003E0AC9" w:rsidRPr="0091078F">
        <w:t>nın</w:t>
      </w:r>
      <w:r w:rsidR="00D866D4" w:rsidRPr="0091078F">
        <w:t xml:space="preserve">, </w:t>
      </w:r>
      <w:r w:rsidR="00AA417E" w:rsidRPr="0091078F">
        <w:t>yılın ilk altı aylık dönemine ilişkin bütçe uygulamaları, ikinci altı aya ilişkin beklentiler</w:t>
      </w:r>
      <w:r w:rsidR="00823C01" w:rsidRPr="0091078F">
        <w:t xml:space="preserve"> ve hedefler ile faaliyetlerin yer aldığı </w:t>
      </w:r>
      <w:r w:rsidR="00D866D4" w:rsidRPr="0091078F">
        <w:t>“</w:t>
      </w:r>
      <w:r w:rsidR="002E48D2" w:rsidRPr="0091078F">
        <w:t>201</w:t>
      </w:r>
      <w:r w:rsidR="005E7716">
        <w:t>3</w:t>
      </w:r>
      <w:r w:rsidR="00384D9A" w:rsidRPr="0091078F">
        <w:t xml:space="preserve"> Yılı Kurumsal Mali Durum ve Beklentiler Raporu</w:t>
      </w:r>
      <w:r w:rsidR="00D866D4" w:rsidRPr="0091078F">
        <w:t>” ekleriyle birlikte k</w:t>
      </w:r>
      <w:r w:rsidR="009A74F0" w:rsidRPr="0091078F">
        <w:t>amuoyunun bilgisine sun</w:t>
      </w:r>
      <w:r w:rsidR="00F12CEA" w:rsidRPr="0091078F">
        <w:t>ul</w:t>
      </w:r>
      <w:r w:rsidR="009A74F0" w:rsidRPr="0091078F">
        <w:t>muştur.</w:t>
      </w:r>
    </w:p>
    <w:p w:rsidR="003F533E" w:rsidRPr="0091078F" w:rsidRDefault="003F533E" w:rsidP="003E0AC9">
      <w:pPr>
        <w:jc w:val="both"/>
        <w:rPr>
          <w:color w:val="333399"/>
        </w:rPr>
      </w:pPr>
    </w:p>
    <w:p w:rsidR="00E67545" w:rsidRPr="005957A3" w:rsidRDefault="00E67545" w:rsidP="00C05A15">
      <w:pPr>
        <w:jc w:val="both"/>
        <w:rPr>
          <w:color w:val="333399"/>
          <w:sz w:val="20"/>
          <w:szCs w:val="20"/>
        </w:rPr>
      </w:pPr>
    </w:p>
    <w:p w:rsidR="00E67545" w:rsidRPr="005957A3" w:rsidRDefault="00E67545" w:rsidP="00C05A15">
      <w:pPr>
        <w:jc w:val="both"/>
        <w:rPr>
          <w:color w:val="333399"/>
          <w:sz w:val="20"/>
          <w:szCs w:val="20"/>
        </w:rPr>
      </w:pPr>
    </w:p>
    <w:p w:rsidR="00E67545" w:rsidRPr="005957A3" w:rsidRDefault="00E67545" w:rsidP="00C05A15">
      <w:pPr>
        <w:jc w:val="both"/>
        <w:rPr>
          <w:color w:val="333399"/>
          <w:sz w:val="20"/>
          <w:szCs w:val="20"/>
        </w:rPr>
      </w:pPr>
    </w:p>
    <w:p w:rsidR="00E67545" w:rsidRPr="005957A3" w:rsidRDefault="00E67545" w:rsidP="00C05A15">
      <w:pPr>
        <w:jc w:val="both"/>
        <w:rPr>
          <w:color w:val="333399"/>
          <w:sz w:val="20"/>
          <w:szCs w:val="20"/>
        </w:rPr>
      </w:pPr>
    </w:p>
    <w:p w:rsidR="00E67545" w:rsidRDefault="00E67545" w:rsidP="00C05A15">
      <w:pPr>
        <w:jc w:val="both"/>
        <w:rPr>
          <w:color w:val="333399"/>
          <w:sz w:val="20"/>
          <w:szCs w:val="20"/>
        </w:rPr>
      </w:pPr>
    </w:p>
    <w:p w:rsidR="003D11D4" w:rsidRDefault="003D11D4" w:rsidP="00C05A15">
      <w:pPr>
        <w:jc w:val="both"/>
        <w:rPr>
          <w:color w:val="333399"/>
          <w:sz w:val="20"/>
          <w:szCs w:val="20"/>
        </w:rPr>
      </w:pPr>
    </w:p>
    <w:p w:rsidR="00922579" w:rsidRDefault="00922579" w:rsidP="00C05A15">
      <w:pPr>
        <w:jc w:val="both"/>
        <w:rPr>
          <w:color w:val="333399"/>
          <w:sz w:val="20"/>
          <w:szCs w:val="20"/>
        </w:rPr>
      </w:pPr>
    </w:p>
    <w:p w:rsidR="00922579" w:rsidRDefault="00922579" w:rsidP="00C05A15">
      <w:pPr>
        <w:jc w:val="both"/>
        <w:rPr>
          <w:color w:val="333399"/>
          <w:sz w:val="20"/>
          <w:szCs w:val="20"/>
        </w:rPr>
      </w:pPr>
    </w:p>
    <w:p w:rsidR="00823C01" w:rsidRDefault="00823C01" w:rsidP="00C05A15">
      <w:pPr>
        <w:jc w:val="both"/>
        <w:rPr>
          <w:color w:val="333399"/>
          <w:sz w:val="20"/>
          <w:szCs w:val="20"/>
        </w:rPr>
      </w:pPr>
    </w:p>
    <w:p w:rsidR="0091078F" w:rsidRDefault="0091078F" w:rsidP="00C05A15">
      <w:pPr>
        <w:jc w:val="both"/>
        <w:rPr>
          <w:color w:val="333399"/>
          <w:sz w:val="20"/>
          <w:szCs w:val="20"/>
        </w:rPr>
      </w:pPr>
    </w:p>
    <w:p w:rsidR="0091078F" w:rsidRDefault="0091078F" w:rsidP="00C05A15">
      <w:pPr>
        <w:jc w:val="both"/>
        <w:rPr>
          <w:color w:val="333399"/>
          <w:sz w:val="20"/>
          <w:szCs w:val="20"/>
        </w:rPr>
      </w:pPr>
    </w:p>
    <w:p w:rsidR="0091078F" w:rsidRDefault="0091078F" w:rsidP="00C05A15">
      <w:pPr>
        <w:jc w:val="both"/>
        <w:rPr>
          <w:color w:val="333399"/>
          <w:sz w:val="20"/>
          <w:szCs w:val="20"/>
        </w:rPr>
      </w:pPr>
    </w:p>
    <w:p w:rsidR="0091078F" w:rsidRPr="005957A3" w:rsidRDefault="0091078F" w:rsidP="00C05A15">
      <w:pPr>
        <w:jc w:val="both"/>
        <w:rPr>
          <w:color w:val="333399"/>
          <w:sz w:val="20"/>
          <w:szCs w:val="20"/>
        </w:rPr>
      </w:pPr>
    </w:p>
    <w:p w:rsidR="002E48D2" w:rsidRPr="005957A3" w:rsidRDefault="002E48D2" w:rsidP="00C05A15">
      <w:pPr>
        <w:jc w:val="both"/>
        <w:rPr>
          <w:color w:val="333399"/>
          <w:sz w:val="20"/>
          <w:szCs w:val="20"/>
        </w:rPr>
      </w:pPr>
    </w:p>
    <w:p w:rsidR="00E67545" w:rsidRPr="005957A3" w:rsidRDefault="00E67545" w:rsidP="00C05A15">
      <w:pPr>
        <w:jc w:val="both"/>
        <w:rPr>
          <w:color w:val="333399"/>
          <w:sz w:val="20"/>
          <w:szCs w:val="20"/>
        </w:rPr>
      </w:pPr>
    </w:p>
    <w:p w:rsidR="00E67545" w:rsidRPr="005957A3" w:rsidRDefault="00E67545" w:rsidP="00C05A15">
      <w:pPr>
        <w:jc w:val="both"/>
        <w:rPr>
          <w:color w:val="333399"/>
          <w:sz w:val="20"/>
          <w:szCs w:val="20"/>
        </w:rPr>
      </w:pPr>
    </w:p>
    <w:p w:rsidR="00853CCC" w:rsidRPr="005957A3" w:rsidRDefault="00853CCC" w:rsidP="00C05A15">
      <w:pPr>
        <w:jc w:val="both"/>
        <w:rPr>
          <w:color w:val="333399"/>
          <w:sz w:val="20"/>
          <w:szCs w:val="20"/>
        </w:rPr>
      </w:pPr>
    </w:p>
    <w:p w:rsidR="00E67545" w:rsidRPr="00832B10" w:rsidRDefault="00961E9B" w:rsidP="003E0AC9">
      <w:pPr>
        <w:pStyle w:val="Balk1"/>
        <w:numPr>
          <w:ilvl w:val="0"/>
          <w:numId w:val="13"/>
        </w:numPr>
        <w:ind w:left="993" w:right="139" w:hanging="284"/>
        <w:rPr>
          <w:rFonts w:ascii="Times New Roman" w:hAnsi="Times New Roman" w:cs="Times New Roman"/>
          <w:sz w:val="24"/>
          <w:szCs w:val="24"/>
        </w:rPr>
      </w:pPr>
      <w:r w:rsidRPr="00832B10">
        <w:rPr>
          <w:rFonts w:ascii="Times New Roman" w:hAnsi="Times New Roman" w:cs="Times New Roman"/>
          <w:sz w:val="24"/>
          <w:szCs w:val="24"/>
        </w:rPr>
        <w:lastRenderedPageBreak/>
        <w:t>OCAK-HAZ</w:t>
      </w:r>
      <w:r w:rsidR="00A842BE" w:rsidRPr="00832B10">
        <w:rPr>
          <w:rFonts w:ascii="Times New Roman" w:hAnsi="Times New Roman" w:cs="Times New Roman"/>
          <w:sz w:val="24"/>
          <w:szCs w:val="24"/>
        </w:rPr>
        <w:t>İ</w:t>
      </w:r>
      <w:r w:rsidR="00C01602" w:rsidRPr="00832B10">
        <w:rPr>
          <w:rFonts w:ascii="Times New Roman" w:hAnsi="Times New Roman" w:cs="Times New Roman"/>
          <w:sz w:val="24"/>
          <w:szCs w:val="24"/>
        </w:rPr>
        <w:t>RAN 201</w:t>
      </w:r>
      <w:r w:rsidR="003E0AC9" w:rsidRPr="00832B10">
        <w:rPr>
          <w:rFonts w:ascii="Times New Roman" w:hAnsi="Times New Roman" w:cs="Times New Roman"/>
          <w:sz w:val="24"/>
          <w:szCs w:val="24"/>
        </w:rPr>
        <w:t>3</w:t>
      </w:r>
      <w:r w:rsidR="00E67545" w:rsidRPr="00832B10">
        <w:rPr>
          <w:rFonts w:ascii="Times New Roman" w:hAnsi="Times New Roman" w:cs="Times New Roman"/>
          <w:sz w:val="24"/>
          <w:szCs w:val="24"/>
        </w:rPr>
        <w:t xml:space="preserve"> DÖNEMİ BÜTÇE UYGULAMA SONUÇLARI</w:t>
      </w:r>
    </w:p>
    <w:p w:rsidR="00853CCC" w:rsidRPr="00832B10" w:rsidRDefault="00853CCC" w:rsidP="0089084D">
      <w:pPr>
        <w:tabs>
          <w:tab w:val="left" w:pos="540"/>
        </w:tabs>
        <w:ind w:left="1004"/>
        <w:jc w:val="both"/>
        <w:rPr>
          <w:b/>
        </w:rPr>
      </w:pPr>
    </w:p>
    <w:p w:rsidR="0089084D" w:rsidRPr="00832B10" w:rsidRDefault="00832B10" w:rsidP="00832B10">
      <w:pPr>
        <w:tabs>
          <w:tab w:val="left" w:pos="709"/>
        </w:tabs>
        <w:jc w:val="both"/>
        <w:rPr>
          <w:b/>
        </w:rPr>
      </w:pPr>
      <w:r w:rsidRPr="00832B10">
        <w:rPr>
          <w:b/>
        </w:rPr>
        <w:tab/>
      </w:r>
      <w:r w:rsidR="0089084D" w:rsidRPr="00832B10">
        <w:rPr>
          <w:b/>
        </w:rPr>
        <w:t xml:space="preserve">A.Bütçe Giderleri </w:t>
      </w:r>
    </w:p>
    <w:p w:rsidR="0089084D" w:rsidRPr="00832B10" w:rsidRDefault="0089084D" w:rsidP="0089084D"/>
    <w:p w:rsidR="00E67545" w:rsidRPr="00832B10" w:rsidRDefault="00E67545" w:rsidP="001B06F4">
      <w:pPr>
        <w:spacing w:line="312" w:lineRule="auto"/>
        <w:ind w:right="139" w:hanging="76"/>
        <w:jc w:val="both"/>
        <w:rPr>
          <w:bCs/>
        </w:rPr>
      </w:pPr>
    </w:p>
    <w:p w:rsidR="00E67545" w:rsidRPr="00832B10" w:rsidRDefault="001B06F4" w:rsidP="001B06F4">
      <w:pPr>
        <w:spacing w:line="312" w:lineRule="auto"/>
        <w:ind w:right="139" w:hanging="76"/>
        <w:jc w:val="both"/>
      </w:pPr>
      <w:r w:rsidRPr="00832B10">
        <w:rPr>
          <w:bCs/>
        </w:rPr>
        <w:t xml:space="preserve"> </w:t>
      </w:r>
      <w:r w:rsidR="00853CCC" w:rsidRPr="00832B10">
        <w:rPr>
          <w:bCs/>
        </w:rPr>
        <w:tab/>
      </w:r>
      <w:r w:rsidR="00853CCC" w:rsidRPr="00832B10">
        <w:rPr>
          <w:bCs/>
        </w:rPr>
        <w:tab/>
      </w:r>
      <w:r w:rsidR="00E67545" w:rsidRPr="00832B10">
        <w:t>20</w:t>
      </w:r>
      <w:r w:rsidR="00961E9B" w:rsidRPr="00832B10">
        <w:t>1</w:t>
      </w:r>
      <w:r w:rsidR="002F0129" w:rsidRPr="00832B10">
        <w:t>2</w:t>
      </w:r>
      <w:r w:rsidR="00E67545" w:rsidRPr="00832B10">
        <w:t xml:space="preserve"> yılı Merkezi Yönetim Bütçe Kanunu </w:t>
      </w:r>
      <w:r w:rsidR="00832B10">
        <w:t xml:space="preserve">31 </w:t>
      </w:r>
      <w:r w:rsidR="002E48D2" w:rsidRPr="00832B10">
        <w:t>Aralık 201</w:t>
      </w:r>
      <w:r w:rsidR="00832B10">
        <w:t>2</w:t>
      </w:r>
      <w:r w:rsidR="00E67545" w:rsidRPr="00832B10">
        <w:t xml:space="preserve"> tarih ve 2</w:t>
      </w:r>
      <w:r w:rsidR="002F0129" w:rsidRPr="00832B10">
        <w:t>8</w:t>
      </w:r>
      <w:r w:rsidR="00832B10">
        <w:t>514</w:t>
      </w:r>
      <w:r w:rsidR="00E67545" w:rsidRPr="00832B10">
        <w:t xml:space="preserve"> Mükerrer </w:t>
      </w:r>
      <w:r w:rsidR="00961E9B" w:rsidRPr="00832B10">
        <w:t xml:space="preserve">sayılı </w:t>
      </w:r>
      <w:r w:rsidR="00E67545" w:rsidRPr="00832B10">
        <w:t>Resmi Gazetede yayımlanarak 01.01.20</w:t>
      </w:r>
      <w:r w:rsidR="002E48D2" w:rsidRPr="00832B10">
        <w:t>1</w:t>
      </w:r>
      <w:r w:rsidR="00832B10">
        <w:t>3</w:t>
      </w:r>
      <w:r w:rsidR="00E67545" w:rsidRPr="00832B10">
        <w:t xml:space="preserve"> tarihinden itibaren yürürlüğe girmiştir. </w:t>
      </w:r>
    </w:p>
    <w:p w:rsidR="00853CCC" w:rsidRPr="00832B10" w:rsidRDefault="00853CCC" w:rsidP="001B06F4">
      <w:pPr>
        <w:spacing w:line="312" w:lineRule="auto"/>
        <w:ind w:right="139" w:hanging="76"/>
        <w:jc w:val="both"/>
      </w:pPr>
    </w:p>
    <w:p w:rsidR="00E67545" w:rsidRPr="00832B10" w:rsidRDefault="001B06F4" w:rsidP="00832B10">
      <w:pPr>
        <w:pStyle w:val="GvdeMetni"/>
        <w:spacing w:line="312" w:lineRule="auto"/>
        <w:ind w:right="139" w:hanging="76"/>
        <w:jc w:val="both"/>
        <w:rPr>
          <w:sz w:val="24"/>
          <w:szCs w:val="24"/>
        </w:rPr>
      </w:pPr>
      <w:r w:rsidRPr="00832B10">
        <w:rPr>
          <w:sz w:val="24"/>
          <w:szCs w:val="24"/>
        </w:rPr>
        <w:t xml:space="preserve"> </w:t>
      </w:r>
      <w:r w:rsidR="00853CCC" w:rsidRPr="00832B10">
        <w:rPr>
          <w:sz w:val="24"/>
          <w:szCs w:val="24"/>
        </w:rPr>
        <w:tab/>
      </w:r>
      <w:r w:rsidR="00853CCC" w:rsidRPr="00832B10">
        <w:rPr>
          <w:sz w:val="24"/>
          <w:szCs w:val="24"/>
        </w:rPr>
        <w:tab/>
      </w:r>
      <w:proofErr w:type="gramStart"/>
      <w:r w:rsidRPr="00832B10">
        <w:rPr>
          <w:sz w:val="24"/>
          <w:szCs w:val="24"/>
        </w:rPr>
        <w:t xml:space="preserve">Yükseköğretim Kurulu </w:t>
      </w:r>
      <w:r w:rsidR="00E67545" w:rsidRPr="00832B10">
        <w:rPr>
          <w:sz w:val="24"/>
          <w:szCs w:val="24"/>
        </w:rPr>
        <w:t>Başkanlığı</w:t>
      </w:r>
      <w:r w:rsidR="00832B10" w:rsidRPr="00832B10">
        <w:rPr>
          <w:sz w:val="24"/>
          <w:szCs w:val="24"/>
        </w:rPr>
        <w:t>’</w:t>
      </w:r>
      <w:r w:rsidR="00E67545" w:rsidRPr="00832B10">
        <w:rPr>
          <w:sz w:val="24"/>
          <w:szCs w:val="24"/>
        </w:rPr>
        <w:t>na Merkezi Yönetim Bütçe Kanunu ile 20</w:t>
      </w:r>
      <w:r w:rsidR="002E48D2" w:rsidRPr="00832B10">
        <w:rPr>
          <w:sz w:val="24"/>
          <w:szCs w:val="24"/>
        </w:rPr>
        <w:t>1</w:t>
      </w:r>
      <w:r w:rsidR="00832B10" w:rsidRPr="00832B10">
        <w:rPr>
          <w:sz w:val="24"/>
          <w:szCs w:val="24"/>
        </w:rPr>
        <w:t>3</w:t>
      </w:r>
      <w:r w:rsidR="00E67545" w:rsidRPr="00832B10">
        <w:rPr>
          <w:sz w:val="24"/>
          <w:szCs w:val="24"/>
        </w:rPr>
        <w:t xml:space="preserve"> yılında Personel Giderleri için </w:t>
      </w:r>
      <w:r w:rsidR="00832B10" w:rsidRPr="00832B10">
        <w:rPr>
          <w:sz w:val="24"/>
          <w:szCs w:val="24"/>
        </w:rPr>
        <w:t xml:space="preserve">22.810.000.- TL, </w:t>
      </w:r>
      <w:r w:rsidR="00E67545" w:rsidRPr="00832B10">
        <w:rPr>
          <w:sz w:val="24"/>
          <w:szCs w:val="24"/>
        </w:rPr>
        <w:t xml:space="preserve">Sosyal Güvenlik Kurumlarına Devlet Primi Giderleri için </w:t>
      </w:r>
      <w:r w:rsidR="00C536E9" w:rsidRPr="00832B10">
        <w:rPr>
          <w:sz w:val="24"/>
          <w:szCs w:val="24"/>
        </w:rPr>
        <w:t>3</w:t>
      </w:r>
      <w:r w:rsidR="002E48D2" w:rsidRPr="00832B10">
        <w:rPr>
          <w:sz w:val="24"/>
          <w:szCs w:val="24"/>
        </w:rPr>
        <w:t>.</w:t>
      </w:r>
      <w:r w:rsidR="00832B10" w:rsidRPr="00832B10">
        <w:rPr>
          <w:sz w:val="24"/>
          <w:szCs w:val="24"/>
        </w:rPr>
        <w:t>800</w:t>
      </w:r>
      <w:r w:rsidRPr="00832B10">
        <w:rPr>
          <w:sz w:val="24"/>
          <w:szCs w:val="24"/>
        </w:rPr>
        <w:t>.000</w:t>
      </w:r>
      <w:r w:rsidR="002E48D2" w:rsidRPr="00832B10">
        <w:rPr>
          <w:sz w:val="24"/>
          <w:szCs w:val="24"/>
        </w:rPr>
        <w:t xml:space="preserve">.-TL, </w:t>
      </w:r>
      <w:r w:rsidR="00E67545" w:rsidRPr="00832B10">
        <w:rPr>
          <w:sz w:val="24"/>
          <w:szCs w:val="24"/>
        </w:rPr>
        <w:t xml:space="preserve">Mal ve Hizmet Alım Giderleri için </w:t>
      </w:r>
      <w:r w:rsidR="00C536E9" w:rsidRPr="00832B10">
        <w:rPr>
          <w:sz w:val="24"/>
          <w:szCs w:val="24"/>
        </w:rPr>
        <w:t>2</w:t>
      </w:r>
      <w:r w:rsidRPr="00832B10">
        <w:rPr>
          <w:sz w:val="24"/>
          <w:szCs w:val="24"/>
        </w:rPr>
        <w:t>.</w:t>
      </w:r>
      <w:r w:rsidR="00832B10">
        <w:rPr>
          <w:sz w:val="24"/>
          <w:szCs w:val="24"/>
        </w:rPr>
        <w:t>372</w:t>
      </w:r>
      <w:r w:rsidRPr="00832B10">
        <w:rPr>
          <w:sz w:val="24"/>
          <w:szCs w:val="24"/>
        </w:rPr>
        <w:t>.000</w:t>
      </w:r>
      <w:r w:rsidR="002E48D2" w:rsidRPr="00832B10">
        <w:rPr>
          <w:sz w:val="24"/>
          <w:szCs w:val="24"/>
        </w:rPr>
        <w:t xml:space="preserve">.-TL, </w:t>
      </w:r>
      <w:r w:rsidR="00E67545" w:rsidRPr="00832B10">
        <w:rPr>
          <w:sz w:val="24"/>
          <w:szCs w:val="24"/>
        </w:rPr>
        <w:t xml:space="preserve">Cari Transferler için </w:t>
      </w:r>
      <w:r w:rsidR="002E48D2" w:rsidRPr="00832B10">
        <w:rPr>
          <w:sz w:val="24"/>
          <w:szCs w:val="24"/>
        </w:rPr>
        <w:t>1.</w:t>
      </w:r>
      <w:r w:rsidR="00832B10">
        <w:rPr>
          <w:sz w:val="24"/>
          <w:szCs w:val="24"/>
        </w:rPr>
        <w:t>600</w:t>
      </w:r>
      <w:r w:rsidRPr="00832B10">
        <w:rPr>
          <w:sz w:val="24"/>
          <w:szCs w:val="24"/>
        </w:rPr>
        <w:t>.000</w:t>
      </w:r>
      <w:r w:rsidR="002E48D2" w:rsidRPr="00832B10">
        <w:rPr>
          <w:sz w:val="24"/>
          <w:szCs w:val="24"/>
        </w:rPr>
        <w:t>.-TL</w:t>
      </w:r>
      <w:r w:rsidR="00E67545" w:rsidRPr="00832B10">
        <w:rPr>
          <w:sz w:val="24"/>
          <w:szCs w:val="24"/>
        </w:rPr>
        <w:t xml:space="preserve"> ve Sermaye Giderleri için </w:t>
      </w:r>
      <w:r w:rsidRPr="00832B10">
        <w:rPr>
          <w:sz w:val="24"/>
          <w:szCs w:val="24"/>
        </w:rPr>
        <w:t>3.</w:t>
      </w:r>
      <w:r w:rsidR="006F24FF">
        <w:rPr>
          <w:sz w:val="24"/>
          <w:szCs w:val="24"/>
        </w:rPr>
        <w:t>300</w:t>
      </w:r>
      <w:r w:rsidR="00E67545" w:rsidRPr="00832B10">
        <w:rPr>
          <w:sz w:val="24"/>
          <w:szCs w:val="24"/>
        </w:rPr>
        <w:t>.000</w:t>
      </w:r>
      <w:r w:rsidR="0025764F" w:rsidRPr="00832B10">
        <w:rPr>
          <w:sz w:val="24"/>
          <w:szCs w:val="24"/>
        </w:rPr>
        <w:t>.-TL</w:t>
      </w:r>
      <w:r w:rsidR="00E67545" w:rsidRPr="00832B10">
        <w:rPr>
          <w:sz w:val="24"/>
          <w:szCs w:val="24"/>
        </w:rPr>
        <w:t xml:space="preserve"> olmak üzere toplam </w:t>
      </w:r>
      <w:r w:rsidR="006F24FF">
        <w:rPr>
          <w:sz w:val="24"/>
          <w:szCs w:val="24"/>
        </w:rPr>
        <w:t>33</w:t>
      </w:r>
      <w:r w:rsidR="0025764F" w:rsidRPr="00832B10">
        <w:rPr>
          <w:sz w:val="24"/>
          <w:szCs w:val="24"/>
        </w:rPr>
        <w:t>.</w:t>
      </w:r>
      <w:r w:rsidR="006F24FF">
        <w:rPr>
          <w:sz w:val="24"/>
          <w:szCs w:val="24"/>
        </w:rPr>
        <w:t>882</w:t>
      </w:r>
      <w:r w:rsidRPr="00832B10">
        <w:rPr>
          <w:sz w:val="24"/>
          <w:szCs w:val="24"/>
        </w:rPr>
        <w:t>.000</w:t>
      </w:r>
      <w:r w:rsidR="0025764F" w:rsidRPr="00832B10">
        <w:rPr>
          <w:sz w:val="24"/>
          <w:szCs w:val="24"/>
        </w:rPr>
        <w:t>.-TL</w:t>
      </w:r>
      <w:r w:rsidR="00E67545" w:rsidRPr="00832B10">
        <w:rPr>
          <w:sz w:val="24"/>
          <w:szCs w:val="24"/>
        </w:rPr>
        <w:t xml:space="preserve"> ödenek tahsis edilmiştir.</w:t>
      </w:r>
      <w:proofErr w:type="gramEnd"/>
    </w:p>
    <w:p w:rsidR="00853CCC" w:rsidRPr="00832B10" w:rsidRDefault="00853CCC" w:rsidP="001B06F4">
      <w:pPr>
        <w:spacing w:line="312" w:lineRule="auto"/>
        <w:ind w:right="139" w:hanging="76"/>
        <w:jc w:val="both"/>
      </w:pPr>
    </w:p>
    <w:p w:rsidR="00E67545" w:rsidRPr="00832B10" w:rsidRDefault="001B06F4" w:rsidP="001B06F4">
      <w:pPr>
        <w:pStyle w:val="GvdeMetni"/>
        <w:spacing w:line="312" w:lineRule="auto"/>
        <w:ind w:right="139" w:hanging="76"/>
        <w:jc w:val="both"/>
        <w:rPr>
          <w:sz w:val="24"/>
          <w:szCs w:val="24"/>
        </w:rPr>
      </w:pPr>
      <w:r w:rsidRPr="00832B10">
        <w:rPr>
          <w:sz w:val="24"/>
          <w:szCs w:val="24"/>
        </w:rPr>
        <w:t xml:space="preserve"> </w:t>
      </w:r>
      <w:r w:rsidR="00853CCC" w:rsidRPr="00832B10">
        <w:rPr>
          <w:sz w:val="24"/>
          <w:szCs w:val="24"/>
        </w:rPr>
        <w:tab/>
      </w:r>
      <w:r w:rsidR="00853CCC" w:rsidRPr="00832B10">
        <w:rPr>
          <w:sz w:val="24"/>
          <w:szCs w:val="24"/>
        </w:rPr>
        <w:tab/>
      </w:r>
      <w:r w:rsidRPr="00832B10">
        <w:rPr>
          <w:sz w:val="24"/>
          <w:szCs w:val="24"/>
        </w:rPr>
        <w:t xml:space="preserve">Yükseköğretim Kurulu </w:t>
      </w:r>
      <w:r w:rsidR="0025764F" w:rsidRPr="00832B10">
        <w:rPr>
          <w:sz w:val="24"/>
          <w:szCs w:val="24"/>
        </w:rPr>
        <w:t>Başkanlığının 201</w:t>
      </w:r>
      <w:r w:rsidR="006F24FF">
        <w:rPr>
          <w:sz w:val="24"/>
          <w:szCs w:val="24"/>
        </w:rPr>
        <w:t>2</w:t>
      </w:r>
      <w:r w:rsidR="00E67545" w:rsidRPr="00832B10">
        <w:rPr>
          <w:sz w:val="24"/>
          <w:szCs w:val="24"/>
        </w:rPr>
        <w:t xml:space="preserve"> ve 20</w:t>
      </w:r>
      <w:r w:rsidR="0025764F" w:rsidRPr="00832B10">
        <w:rPr>
          <w:sz w:val="24"/>
          <w:szCs w:val="24"/>
        </w:rPr>
        <w:t>1</w:t>
      </w:r>
      <w:r w:rsidR="006F24FF">
        <w:rPr>
          <w:sz w:val="24"/>
          <w:szCs w:val="24"/>
        </w:rPr>
        <w:t>3</w:t>
      </w:r>
      <w:r w:rsidR="00E67545" w:rsidRPr="00832B10">
        <w:rPr>
          <w:sz w:val="24"/>
          <w:szCs w:val="24"/>
        </w:rPr>
        <w:t xml:space="preserve"> yıllarına ilişkin başlangıç bütçe ödeneklerinin, analitik bütçe sistemine uygun gider türleri itibariyle dağılımı ve değişim oranları aşağıdaki grafikte </w:t>
      </w:r>
      <w:r w:rsidR="00823C01" w:rsidRPr="00832B10">
        <w:rPr>
          <w:sz w:val="24"/>
          <w:szCs w:val="24"/>
        </w:rPr>
        <w:t>gösterilmiştir</w:t>
      </w:r>
      <w:r w:rsidR="00E67545" w:rsidRPr="00832B10">
        <w:rPr>
          <w:sz w:val="24"/>
          <w:szCs w:val="24"/>
        </w:rPr>
        <w:t>.</w:t>
      </w:r>
    </w:p>
    <w:p w:rsidR="00E67545" w:rsidRPr="005957A3" w:rsidRDefault="00346A11" w:rsidP="00B30F78">
      <w:pPr>
        <w:rPr>
          <w:sz w:val="20"/>
          <w:szCs w:val="20"/>
        </w:rPr>
      </w:pPr>
      <w:r w:rsidRPr="005957A3">
        <w:rPr>
          <w:sz w:val="20"/>
          <w:szCs w:val="20"/>
        </w:rPr>
        <w:t xml:space="preserve"> </w:t>
      </w:r>
    </w:p>
    <w:p w:rsidR="00823C01" w:rsidRPr="00823C01" w:rsidRDefault="00760A80" w:rsidP="009B05E8">
      <w:pPr>
        <w:pStyle w:val="GvdeMetni"/>
        <w:spacing w:line="312" w:lineRule="auto"/>
        <w:jc w:val="both"/>
        <w:rPr>
          <w:color w:val="333399"/>
          <w:sz w:val="16"/>
          <w:szCs w:val="16"/>
        </w:rPr>
      </w:pPr>
      <w:r w:rsidRPr="005957A3">
        <w:rPr>
          <w:color w:val="333399"/>
          <w:sz w:val="16"/>
          <w:szCs w:val="16"/>
        </w:rPr>
        <w:t xml:space="preserve">         </w:t>
      </w:r>
      <w:r w:rsidR="00BB125E">
        <w:rPr>
          <w:noProof/>
          <w:color w:val="333399"/>
          <w:sz w:val="16"/>
          <w:szCs w:val="16"/>
        </w:rPr>
        <w:drawing>
          <wp:inline distT="0" distB="0" distL="0" distR="0">
            <wp:extent cx="5600700" cy="4019550"/>
            <wp:effectExtent l="19050" t="0" r="19050" b="0"/>
            <wp:docPr id="1" name="Nesnesi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53CCC" w:rsidRDefault="00853CCC" w:rsidP="00823C01">
      <w:pPr>
        <w:pStyle w:val="GvdeMetni"/>
        <w:spacing w:line="312" w:lineRule="auto"/>
        <w:ind w:firstLine="708"/>
        <w:jc w:val="center"/>
        <w:rPr>
          <w:b/>
          <w:sz w:val="22"/>
          <w:szCs w:val="22"/>
        </w:rPr>
      </w:pPr>
    </w:p>
    <w:p w:rsidR="00823C01" w:rsidRDefault="00823C01" w:rsidP="00823C01">
      <w:pPr>
        <w:pStyle w:val="GvdeMetni"/>
        <w:spacing w:line="312" w:lineRule="auto"/>
        <w:ind w:firstLine="708"/>
        <w:jc w:val="center"/>
        <w:rPr>
          <w:b/>
          <w:sz w:val="22"/>
          <w:szCs w:val="22"/>
        </w:rPr>
      </w:pPr>
    </w:p>
    <w:p w:rsidR="00823C01" w:rsidRPr="005957A3" w:rsidRDefault="00823C01" w:rsidP="00823C01">
      <w:pPr>
        <w:pStyle w:val="GvdeMetni"/>
        <w:spacing w:line="312" w:lineRule="auto"/>
        <w:ind w:firstLine="708"/>
        <w:jc w:val="center"/>
        <w:rPr>
          <w:sz w:val="20"/>
        </w:rPr>
      </w:pPr>
    </w:p>
    <w:p w:rsidR="00E67545" w:rsidRPr="0091078F" w:rsidRDefault="0025764F" w:rsidP="0091078F">
      <w:pPr>
        <w:pStyle w:val="GvdeMetni"/>
        <w:spacing w:line="312" w:lineRule="auto"/>
        <w:ind w:right="139" w:firstLine="708"/>
        <w:jc w:val="both"/>
        <w:rPr>
          <w:sz w:val="24"/>
          <w:szCs w:val="24"/>
        </w:rPr>
      </w:pPr>
      <w:r w:rsidRPr="0091078F">
        <w:rPr>
          <w:sz w:val="24"/>
          <w:szCs w:val="24"/>
        </w:rPr>
        <w:lastRenderedPageBreak/>
        <w:t>201</w:t>
      </w:r>
      <w:r w:rsidR="00950AAD" w:rsidRPr="0091078F">
        <w:rPr>
          <w:sz w:val="24"/>
          <w:szCs w:val="24"/>
        </w:rPr>
        <w:t>2</w:t>
      </w:r>
      <w:r w:rsidR="00E67545" w:rsidRPr="0091078F">
        <w:rPr>
          <w:sz w:val="24"/>
          <w:szCs w:val="24"/>
        </w:rPr>
        <w:t xml:space="preserve"> ve 20</w:t>
      </w:r>
      <w:r w:rsidRPr="0091078F">
        <w:rPr>
          <w:sz w:val="24"/>
          <w:szCs w:val="24"/>
        </w:rPr>
        <w:t>1</w:t>
      </w:r>
      <w:r w:rsidR="00950AAD" w:rsidRPr="0091078F">
        <w:rPr>
          <w:sz w:val="24"/>
          <w:szCs w:val="24"/>
        </w:rPr>
        <w:t>3</w:t>
      </w:r>
      <w:r w:rsidR="00E67545" w:rsidRPr="0091078F">
        <w:rPr>
          <w:sz w:val="24"/>
          <w:szCs w:val="24"/>
        </w:rPr>
        <w:t xml:space="preserve"> Yılları Merkezi Yönetim Bütçe Kanunlarıyla </w:t>
      </w:r>
      <w:r w:rsidR="00082290" w:rsidRPr="0091078F">
        <w:rPr>
          <w:sz w:val="24"/>
          <w:szCs w:val="24"/>
        </w:rPr>
        <w:t xml:space="preserve">Yükseköğretim Kurulu </w:t>
      </w:r>
      <w:r w:rsidR="00E67545" w:rsidRPr="0091078F">
        <w:rPr>
          <w:sz w:val="24"/>
          <w:szCs w:val="24"/>
        </w:rPr>
        <w:t xml:space="preserve">Başkanlığına tahsis edilen ödeneklerin Ocak-Haziran dönemi sonu itibariyle fiili gerçekleşmelerine ilişkin ayrıntılı veriler ekli tabloda belirtilmiştir. </w:t>
      </w:r>
      <w:r w:rsidR="00E67545" w:rsidRPr="00921898">
        <w:rPr>
          <w:b/>
          <w:sz w:val="24"/>
          <w:szCs w:val="24"/>
        </w:rPr>
        <w:t>(EK:1)</w:t>
      </w:r>
      <w:r w:rsidR="00E67545" w:rsidRPr="0091078F">
        <w:rPr>
          <w:sz w:val="24"/>
          <w:szCs w:val="24"/>
        </w:rPr>
        <w:t xml:space="preserve"> </w:t>
      </w:r>
    </w:p>
    <w:p w:rsidR="00853CCC" w:rsidRPr="0091078F" w:rsidRDefault="00853CCC" w:rsidP="00E67545">
      <w:pPr>
        <w:pStyle w:val="GvdeMetni"/>
        <w:spacing w:line="312" w:lineRule="auto"/>
        <w:ind w:firstLine="709"/>
        <w:jc w:val="both"/>
        <w:rPr>
          <w:sz w:val="24"/>
          <w:szCs w:val="24"/>
        </w:rPr>
      </w:pPr>
    </w:p>
    <w:p w:rsidR="00E67545" w:rsidRPr="0091078F" w:rsidRDefault="00082290" w:rsidP="00082290">
      <w:pPr>
        <w:tabs>
          <w:tab w:val="left" w:pos="540"/>
        </w:tabs>
        <w:autoSpaceDE w:val="0"/>
        <w:autoSpaceDN w:val="0"/>
        <w:spacing w:line="360" w:lineRule="auto"/>
        <w:jc w:val="both"/>
      </w:pPr>
      <w:r w:rsidRPr="0091078F">
        <w:tab/>
      </w:r>
      <w:r w:rsidR="00E67545" w:rsidRPr="0091078F">
        <w:t>Söz</w:t>
      </w:r>
      <w:r w:rsidR="0025764F" w:rsidRPr="0091078F">
        <w:t xml:space="preserve"> </w:t>
      </w:r>
      <w:r w:rsidR="00E67545" w:rsidRPr="0091078F">
        <w:t>konusu tabloda</w:t>
      </w:r>
      <w:r w:rsidR="007A0900" w:rsidRPr="0091078F">
        <w:t xml:space="preserve"> da görüleceği </w:t>
      </w:r>
      <w:proofErr w:type="gramStart"/>
      <w:r w:rsidR="007A0900" w:rsidRPr="0091078F">
        <w:t xml:space="preserve">gibi </w:t>
      </w:r>
      <w:r w:rsidR="00E67545" w:rsidRPr="0091078F">
        <w:rPr>
          <w:b/>
        </w:rPr>
        <w:t xml:space="preserve"> </w:t>
      </w:r>
      <w:r w:rsidR="00734C32" w:rsidRPr="0091078F">
        <w:t>20</w:t>
      </w:r>
      <w:r w:rsidR="0025764F" w:rsidRPr="0091078F">
        <w:t>1</w:t>
      </w:r>
      <w:r w:rsidR="00950AAD" w:rsidRPr="0091078F">
        <w:t>3</w:t>
      </w:r>
      <w:proofErr w:type="gramEnd"/>
      <w:r w:rsidR="00760A80" w:rsidRPr="0091078F">
        <w:t xml:space="preserve"> yılı Ocak-</w:t>
      </w:r>
      <w:r w:rsidR="00E67545" w:rsidRPr="0091078F">
        <w:t>H</w:t>
      </w:r>
      <w:r w:rsidRPr="0091078F">
        <w:t>aziran dönemi harcama</w:t>
      </w:r>
      <w:r w:rsidR="007A0900" w:rsidRPr="0091078F">
        <w:t xml:space="preserve">ları </w:t>
      </w:r>
      <w:r w:rsidR="0025764F" w:rsidRPr="0091078F">
        <w:t xml:space="preserve"> 201</w:t>
      </w:r>
      <w:r w:rsidR="00950AAD" w:rsidRPr="0091078F">
        <w:t>2</w:t>
      </w:r>
      <w:r w:rsidR="0025764F" w:rsidRPr="0091078F">
        <w:t xml:space="preserve"> </w:t>
      </w:r>
      <w:r w:rsidR="007A0900" w:rsidRPr="0091078F">
        <w:t>yılı aynı dönemine oranla</w:t>
      </w:r>
      <w:r w:rsidR="00E67545" w:rsidRPr="0091078F">
        <w:t xml:space="preserve"> %</w:t>
      </w:r>
      <w:r w:rsidRPr="0091078F">
        <w:t xml:space="preserve"> 76,85</w:t>
      </w:r>
      <w:r w:rsidR="00E67545" w:rsidRPr="0091078F">
        <w:t xml:space="preserve"> </w:t>
      </w:r>
      <w:r w:rsidRPr="0091078F">
        <w:t>azalarak</w:t>
      </w:r>
      <w:r w:rsidR="00E67545" w:rsidRPr="0091078F">
        <w:t xml:space="preserve"> </w:t>
      </w:r>
      <w:r w:rsidRPr="0091078F">
        <w:t xml:space="preserve">72.404.024.-TL olarak gerçekleşmiştir. </w:t>
      </w:r>
      <w:r w:rsidR="00E67545" w:rsidRPr="0091078F">
        <w:t xml:space="preserve"> </w:t>
      </w:r>
      <w:r w:rsidRPr="0091078F">
        <w:t xml:space="preserve">Harcamalardaki düşüşün sebebi ise, 2012 </w:t>
      </w:r>
      <w:r w:rsidR="00E20FE5" w:rsidRPr="0091078F">
        <w:t xml:space="preserve">yılı içerisinde </w:t>
      </w:r>
      <w:r w:rsidRPr="0091078F">
        <w:t>Merkezi Yönetim Bütçe Kanununun 28. maddesinin (3) numaralı bendinde yer alan “</w:t>
      </w:r>
      <w:proofErr w:type="gramStart"/>
      <w:r w:rsidRPr="0091078F">
        <w:t>31/12/2011</w:t>
      </w:r>
      <w:proofErr w:type="gramEnd"/>
      <w:r w:rsidRPr="0091078F">
        <w:t xml:space="preserve"> tarihi itibarıyla, Türk Patent Enstitüsü, Türk Standartları Enstitüsü, Yükseköğretim Kurulu, Sivil Havacılık Genel Müdürlüğü, Ölçme, Seçme ve Yerleştirme Merkezi Başkanlığı ve Anadolu Üniversitesi Döner Sermaye İşletmesinin uzaktan eğitim uygulayan İktisat, İşletme ve Açık öğretim Fakültesine ait Türk Lirası ve döviz cinsinden kasa ve banka bakiyelerinin yarısına tekabül eden Türk Lirası tutarı ile bunların sahip oldukları tahvil, bono ve diğer menkul kıymetlerinin değerinin yarısına tekabül eden Türk Lirası tutarı 2012 yılı Şubat ayı sonuna kadar Maliye Bakanlığı Merkez Muhasebe Birimi hesabına aktarılır.” hük</w:t>
      </w:r>
      <w:r w:rsidR="00E20FE5" w:rsidRPr="0091078F">
        <w:t>üm</w:t>
      </w:r>
      <w:r w:rsidRPr="0091078F">
        <w:t xml:space="preserve"> gereğince Kurulumuz banka hesabında bulunan 253.612.86</w:t>
      </w:r>
      <w:r w:rsidR="007A0900" w:rsidRPr="0091078F">
        <w:t>9</w:t>
      </w:r>
      <w:r w:rsidRPr="0091078F">
        <w:t>.-</w:t>
      </w:r>
      <w:proofErr w:type="spellStart"/>
      <w:r w:rsidRPr="0091078F">
        <w:t>TL</w:t>
      </w:r>
      <w:r w:rsidR="00E20FE5" w:rsidRPr="0091078F">
        <w:t>’nın</w:t>
      </w:r>
      <w:proofErr w:type="spellEnd"/>
      <w:r w:rsidRPr="0091078F">
        <w:t xml:space="preserve"> Maliye Bakanlığı Merkez Muhasebe Birimi hesabına aktarılmış olmasıdır. </w:t>
      </w:r>
      <w:r w:rsidR="007A0900" w:rsidRPr="0091078F">
        <w:t>Söz konusu aktarma işlemi Bütçemizin “</w:t>
      </w:r>
      <w:proofErr w:type="gramStart"/>
      <w:r w:rsidR="00435867" w:rsidRPr="0091078F">
        <w:t>05.8</w:t>
      </w:r>
      <w:proofErr w:type="gramEnd"/>
      <w:r w:rsidR="00435867" w:rsidRPr="0091078F">
        <w:t xml:space="preserve"> Gelirden Ayrılan Paylar</w:t>
      </w:r>
      <w:r w:rsidR="007A0900" w:rsidRPr="0091078F">
        <w:t>”</w:t>
      </w:r>
      <w:r w:rsidR="00435867" w:rsidRPr="0091078F">
        <w:t xml:space="preserve"> </w:t>
      </w:r>
      <w:r w:rsidR="007A0900" w:rsidRPr="0091078F">
        <w:t xml:space="preserve">ekonomik kodundan yapılan harcama olarak </w:t>
      </w:r>
      <w:r w:rsidR="00921898">
        <w:t>görülmektedir.</w:t>
      </w:r>
      <w:r w:rsidR="007A0900" w:rsidRPr="0091078F">
        <w:t xml:space="preserve"> </w:t>
      </w:r>
    </w:p>
    <w:p w:rsidR="00853CCC" w:rsidRPr="0091078F" w:rsidRDefault="00853CCC" w:rsidP="00E67545">
      <w:pPr>
        <w:pStyle w:val="GvdeMetni"/>
        <w:spacing w:line="312" w:lineRule="auto"/>
        <w:ind w:firstLine="709"/>
        <w:jc w:val="both"/>
        <w:rPr>
          <w:sz w:val="24"/>
          <w:szCs w:val="24"/>
        </w:rPr>
      </w:pPr>
    </w:p>
    <w:p w:rsidR="00E67545" w:rsidRPr="0091078F" w:rsidRDefault="00E67545" w:rsidP="00E67545">
      <w:pPr>
        <w:pStyle w:val="GvdeMetni"/>
        <w:spacing w:line="312" w:lineRule="auto"/>
        <w:ind w:firstLine="709"/>
        <w:jc w:val="both"/>
        <w:rPr>
          <w:sz w:val="24"/>
          <w:szCs w:val="24"/>
        </w:rPr>
      </w:pPr>
      <w:r w:rsidRPr="0091078F">
        <w:rPr>
          <w:sz w:val="24"/>
          <w:szCs w:val="24"/>
        </w:rPr>
        <w:t>20</w:t>
      </w:r>
      <w:r w:rsidR="00760A80" w:rsidRPr="0091078F">
        <w:rPr>
          <w:sz w:val="24"/>
          <w:szCs w:val="24"/>
        </w:rPr>
        <w:t>1</w:t>
      </w:r>
      <w:r w:rsidR="00950AAD" w:rsidRPr="0091078F">
        <w:rPr>
          <w:sz w:val="24"/>
          <w:szCs w:val="24"/>
        </w:rPr>
        <w:t>3</w:t>
      </w:r>
      <w:r w:rsidR="005D47DD" w:rsidRPr="0091078F">
        <w:rPr>
          <w:sz w:val="24"/>
          <w:szCs w:val="24"/>
        </w:rPr>
        <w:t xml:space="preserve"> </w:t>
      </w:r>
      <w:r w:rsidRPr="0091078F">
        <w:rPr>
          <w:sz w:val="24"/>
          <w:szCs w:val="24"/>
        </w:rPr>
        <w:t>yılı ilk altı aylık bütçe uygulama sonuçları aşağıda</w:t>
      </w:r>
      <w:r w:rsidR="00760A80" w:rsidRPr="0091078F">
        <w:rPr>
          <w:sz w:val="24"/>
          <w:szCs w:val="24"/>
        </w:rPr>
        <w:t xml:space="preserve"> belirtilmiştir:</w:t>
      </w:r>
    </w:p>
    <w:p w:rsidR="00435867" w:rsidRPr="0091078F" w:rsidRDefault="00435867" w:rsidP="00E67545">
      <w:pPr>
        <w:pStyle w:val="GvdeMetni"/>
        <w:spacing w:line="312" w:lineRule="auto"/>
        <w:ind w:firstLine="709"/>
        <w:jc w:val="both"/>
        <w:rPr>
          <w:sz w:val="24"/>
          <w:szCs w:val="24"/>
        </w:rPr>
      </w:pPr>
    </w:p>
    <w:p w:rsidR="00E67545" w:rsidRPr="0091078F" w:rsidRDefault="00760A80" w:rsidP="00E67545">
      <w:pPr>
        <w:pStyle w:val="GvdeMetni"/>
        <w:spacing w:line="312" w:lineRule="auto"/>
        <w:ind w:firstLine="709"/>
        <w:jc w:val="both"/>
        <w:rPr>
          <w:sz w:val="24"/>
          <w:szCs w:val="24"/>
        </w:rPr>
      </w:pPr>
      <w:r w:rsidRPr="0091078F">
        <w:rPr>
          <w:sz w:val="24"/>
          <w:szCs w:val="24"/>
        </w:rPr>
        <w:t>Personel giderleri, 201</w:t>
      </w:r>
      <w:r w:rsidR="00E20FE5" w:rsidRPr="0091078F">
        <w:rPr>
          <w:sz w:val="24"/>
          <w:szCs w:val="24"/>
        </w:rPr>
        <w:t>2</w:t>
      </w:r>
      <w:r w:rsidR="00E67545" w:rsidRPr="0091078F">
        <w:rPr>
          <w:sz w:val="24"/>
          <w:szCs w:val="24"/>
        </w:rPr>
        <w:t xml:space="preserve"> yılının ilk altı ayının gerçekleşme rakamlarına göre </w:t>
      </w:r>
      <w:r w:rsidR="00144478" w:rsidRPr="0091078F">
        <w:rPr>
          <w:sz w:val="24"/>
          <w:szCs w:val="24"/>
        </w:rPr>
        <w:t xml:space="preserve">yaklaşık </w:t>
      </w:r>
      <w:r w:rsidR="00E67545" w:rsidRPr="0091078F">
        <w:rPr>
          <w:sz w:val="24"/>
          <w:szCs w:val="24"/>
        </w:rPr>
        <w:t>%</w:t>
      </w:r>
      <w:r w:rsidR="00017086" w:rsidRPr="0091078F">
        <w:rPr>
          <w:sz w:val="24"/>
          <w:szCs w:val="24"/>
        </w:rPr>
        <w:t xml:space="preserve"> </w:t>
      </w:r>
      <w:r w:rsidR="00E20FE5" w:rsidRPr="0091078F">
        <w:rPr>
          <w:sz w:val="24"/>
          <w:szCs w:val="24"/>
        </w:rPr>
        <w:t>0</w:t>
      </w:r>
      <w:r w:rsidR="00677251" w:rsidRPr="0091078F">
        <w:rPr>
          <w:sz w:val="24"/>
          <w:szCs w:val="24"/>
        </w:rPr>
        <w:t>,</w:t>
      </w:r>
      <w:r w:rsidR="00144478" w:rsidRPr="0091078F">
        <w:rPr>
          <w:sz w:val="24"/>
          <w:szCs w:val="24"/>
        </w:rPr>
        <w:t>494</w:t>
      </w:r>
      <w:r w:rsidR="00677251" w:rsidRPr="0091078F">
        <w:rPr>
          <w:sz w:val="24"/>
          <w:szCs w:val="24"/>
        </w:rPr>
        <w:t xml:space="preserve"> artışla </w:t>
      </w:r>
      <w:r w:rsidR="001D0E72" w:rsidRPr="0091078F">
        <w:rPr>
          <w:sz w:val="24"/>
          <w:szCs w:val="24"/>
        </w:rPr>
        <w:t>10.</w:t>
      </w:r>
      <w:r w:rsidR="00E20FE5" w:rsidRPr="0091078F">
        <w:rPr>
          <w:sz w:val="24"/>
          <w:szCs w:val="24"/>
        </w:rPr>
        <w:t>551.285</w:t>
      </w:r>
      <w:r w:rsidRPr="0091078F">
        <w:rPr>
          <w:sz w:val="24"/>
          <w:szCs w:val="24"/>
        </w:rPr>
        <w:t xml:space="preserve">.-TL </w:t>
      </w:r>
      <w:r w:rsidR="00E67545" w:rsidRPr="0091078F">
        <w:rPr>
          <w:sz w:val="24"/>
          <w:szCs w:val="24"/>
        </w:rPr>
        <w:t>ve Sosyal Güvenlik Kurumlarına Devlet Primi Giderleri de</w:t>
      </w:r>
      <w:r w:rsidR="00677251" w:rsidRPr="0091078F">
        <w:rPr>
          <w:sz w:val="24"/>
          <w:szCs w:val="24"/>
        </w:rPr>
        <w:t xml:space="preserve"> </w:t>
      </w:r>
      <w:r w:rsidR="00144478" w:rsidRPr="0091078F">
        <w:rPr>
          <w:sz w:val="24"/>
          <w:szCs w:val="24"/>
        </w:rPr>
        <w:t>yaklaşık</w:t>
      </w:r>
      <w:r w:rsidR="00E67545" w:rsidRPr="0091078F">
        <w:rPr>
          <w:sz w:val="24"/>
          <w:szCs w:val="24"/>
        </w:rPr>
        <w:t xml:space="preserve"> %</w:t>
      </w:r>
      <w:r w:rsidR="00017086" w:rsidRPr="0091078F">
        <w:rPr>
          <w:sz w:val="24"/>
          <w:szCs w:val="24"/>
        </w:rPr>
        <w:t xml:space="preserve"> 1,</w:t>
      </w:r>
      <w:r w:rsidR="00144478" w:rsidRPr="0091078F">
        <w:rPr>
          <w:sz w:val="24"/>
          <w:szCs w:val="24"/>
        </w:rPr>
        <w:t>497</w:t>
      </w:r>
      <w:r w:rsidR="00017086" w:rsidRPr="0091078F">
        <w:rPr>
          <w:sz w:val="24"/>
          <w:szCs w:val="24"/>
        </w:rPr>
        <w:t xml:space="preserve"> azalışla </w:t>
      </w:r>
      <w:r w:rsidRPr="0091078F">
        <w:rPr>
          <w:sz w:val="24"/>
          <w:szCs w:val="24"/>
        </w:rPr>
        <w:t>1.</w:t>
      </w:r>
      <w:r w:rsidR="00677251" w:rsidRPr="0091078F">
        <w:rPr>
          <w:sz w:val="24"/>
          <w:szCs w:val="24"/>
        </w:rPr>
        <w:t>7</w:t>
      </w:r>
      <w:r w:rsidR="00017086" w:rsidRPr="0091078F">
        <w:rPr>
          <w:sz w:val="24"/>
          <w:szCs w:val="24"/>
        </w:rPr>
        <w:t>28.605</w:t>
      </w:r>
      <w:r w:rsidRPr="0091078F">
        <w:rPr>
          <w:sz w:val="24"/>
          <w:szCs w:val="24"/>
        </w:rPr>
        <w:t xml:space="preserve">.-TL </w:t>
      </w:r>
      <w:r w:rsidR="00E67545" w:rsidRPr="0091078F">
        <w:rPr>
          <w:sz w:val="24"/>
          <w:szCs w:val="24"/>
        </w:rPr>
        <w:t xml:space="preserve">olarak gerçekleşmiştir. </w:t>
      </w:r>
    </w:p>
    <w:p w:rsidR="00853CCC" w:rsidRPr="0091078F" w:rsidRDefault="00853CCC" w:rsidP="00E67545">
      <w:pPr>
        <w:pStyle w:val="GvdeMetni"/>
        <w:spacing w:line="312" w:lineRule="auto"/>
        <w:ind w:firstLine="709"/>
        <w:jc w:val="both"/>
        <w:rPr>
          <w:sz w:val="24"/>
          <w:szCs w:val="24"/>
        </w:rPr>
      </w:pPr>
    </w:p>
    <w:p w:rsidR="00E67545" w:rsidRPr="0091078F" w:rsidRDefault="00E67545" w:rsidP="00E67545">
      <w:pPr>
        <w:pStyle w:val="GvdeMetni"/>
        <w:spacing w:line="312" w:lineRule="auto"/>
        <w:ind w:firstLine="709"/>
        <w:jc w:val="both"/>
        <w:rPr>
          <w:sz w:val="24"/>
          <w:szCs w:val="24"/>
        </w:rPr>
      </w:pPr>
      <w:r w:rsidRPr="0091078F">
        <w:rPr>
          <w:sz w:val="24"/>
          <w:szCs w:val="24"/>
        </w:rPr>
        <w:t xml:space="preserve">Mal ve Hizmet Alım Giderleri bir önceki yılın </w:t>
      </w:r>
      <w:r w:rsidR="00C6216C" w:rsidRPr="0091078F">
        <w:rPr>
          <w:sz w:val="24"/>
          <w:szCs w:val="24"/>
        </w:rPr>
        <w:t xml:space="preserve">aynı dönemine göre </w:t>
      </w:r>
      <w:r w:rsidR="00144478" w:rsidRPr="0091078F">
        <w:rPr>
          <w:sz w:val="24"/>
          <w:szCs w:val="24"/>
        </w:rPr>
        <w:t xml:space="preserve">yaklaşık </w:t>
      </w:r>
      <w:r w:rsidR="00C6216C" w:rsidRPr="0091078F">
        <w:rPr>
          <w:sz w:val="24"/>
          <w:szCs w:val="24"/>
        </w:rPr>
        <w:t>%</w:t>
      </w:r>
      <w:r w:rsidR="00017086" w:rsidRPr="0091078F">
        <w:rPr>
          <w:sz w:val="24"/>
          <w:szCs w:val="24"/>
        </w:rPr>
        <w:t xml:space="preserve"> 10,2</w:t>
      </w:r>
      <w:r w:rsidR="007D13A4" w:rsidRPr="0091078F">
        <w:rPr>
          <w:sz w:val="24"/>
          <w:szCs w:val="24"/>
        </w:rPr>
        <w:t>0</w:t>
      </w:r>
      <w:r w:rsidR="00144478" w:rsidRPr="0091078F">
        <w:rPr>
          <w:sz w:val="24"/>
          <w:szCs w:val="24"/>
        </w:rPr>
        <w:t>3</w:t>
      </w:r>
      <w:r w:rsidR="004448F3" w:rsidRPr="0091078F">
        <w:rPr>
          <w:sz w:val="24"/>
          <w:szCs w:val="24"/>
        </w:rPr>
        <w:t xml:space="preserve"> </w:t>
      </w:r>
      <w:r w:rsidR="00625B8F" w:rsidRPr="0091078F">
        <w:rPr>
          <w:sz w:val="24"/>
          <w:szCs w:val="24"/>
        </w:rPr>
        <w:t>artarak</w:t>
      </w:r>
      <w:r w:rsidR="00017086" w:rsidRPr="0091078F">
        <w:rPr>
          <w:sz w:val="24"/>
          <w:szCs w:val="24"/>
        </w:rPr>
        <w:t xml:space="preserve"> </w:t>
      </w:r>
      <w:r w:rsidR="00677251" w:rsidRPr="0091078F">
        <w:rPr>
          <w:sz w:val="24"/>
          <w:szCs w:val="24"/>
        </w:rPr>
        <w:t>3.</w:t>
      </w:r>
      <w:r w:rsidR="00017086" w:rsidRPr="0091078F">
        <w:rPr>
          <w:sz w:val="24"/>
          <w:szCs w:val="24"/>
        </w:rPr>
        <w:t>839.296</w:t>
      </w:r>
      <w:r w:rsidR="00760A80" w:rsidRPr="0091078F">
        <w:rPr>
          <w:sz w:val="24"/>
          <w:szCs w:val="24"/>
        </w:rPr>
        <w:t xml:space="preserve">.-TL </w:t>
      </w:r>
      <w:r w:rsidRPr="0091078F">
        <w:rPr>
          <w:sz w:val="24"/>
          <w:szCs w:val="24"/>
        </w:rPr>
        <w:t>olmuş</w:t>
      </w:r>
      <w:r w:rsidR="007D13A4" w:rsidRPr="0091078F">
        <w:rPr>
          <w:sz w:val="24"/>
          <w:szCs w:val="24"/>
        </w:rPr>
        <w:t>, Cari Transferler</w:t>
      </w:r>
      <w:r w:rsidR="00017086" w:rsidRPr="0091078F">
        <w:rPr>
          <w:sz w:val="24"/>
          <w:szCs w:val="24"/>
        </w:rPr>
        <w:t xml:space="preserve"> ise</w:t>
      </w:r>
      <w:r w:rsidR="00144478" w:rsidRPr="0091078F">
        <w:rPr>
          <w:sz w:val="24"/>
          <w:szCs w:val="24"/>
        </w:rPr>
        <w:t xml:space="preserve"> yaklaşık</w:t>
      </w:r>
      <w:r w:rsidR="00017086" w:rsidRPr="0091078F">
        <w:rPr>
          <w:sz w:val="24"/>
          <w:szCs w:val="24"/>
        </w:rPr>
        <w:t xml:space="preserve"> </w:t>
      </w:r>
      <w:r w:rsidRPr="0091078F">
        <w:rPr>
          <w:sz w:val="24"/>
          <w:szCs w:val="24"/>
        </w:rPr>
        <w:t>%</w:t>
      </w:r>
      <w:r w:rsidR="007D13A4" w:rsidRPr="0091078F">
        <w:rPr>
          <w:sz w:val="24"/>
          <w:szCs w:val="24"/>
        </w:rPr>
        <w:t xml:space="preserve"> 81,087</w:t>
      </w:r>
      <w:r w:rsidRPr="0091078F">
        <w:rPr>
          <w:sz w:val="24"/>
          <w:szCs w:val="24"/>
        </w:rPr>
        <w:t xml:space="preserve"> oranında </w:t>
      </w:r>
      <w:r w:rsidR="007D13A4" w:rsidRPr="0091078F">
        <w:rPr>
          <w:sz w:val="24"/>
          <w:szCs w:val="24"/>
        </w:rPr>
        <w:t xml:space="preserve">azalarak 56.163.435.- TL gerçekleşmiştir. </w:t>
      </w:r>
      <w:r w:rsidR="001B5202" w:rsidRPr="0091078F">
        <w:rPr>
          <w:sz w:val="24"/>
          <w:szCs w:val="24"/>
        </w:rPr>
        <w:t xml:space="preserve"> </w:t>
      </w:r>
      <w:r w:rsidR="007D13A4" w:rsidRPr="0091078F">
        <w:rPr>
          <w:sz w:val="24"/>
          <w:szCs w:val="24"/>
        </w:rPr>
        <w:t>Azalışın</w:t>
      </w:r>
      <w:r w:rsidR="001B5202" w:rsidRPr="0091078F">
        <w:rPr>
          <w:sz w:val="24"/>
          <w:szCs w:val="24"/>
        </w:rPr>
        <w:t xml:space="preserve"> </w:t>
      </w:r>
      <w:r w:rsidR="007D13A4" w:rsidRPr="0091078F">
        <w:rPr>
          <w:sz w:val="24"/>
          <w:szCs w:val="24"/>
        </w:rPr>
        <w:t>sebebi yukarıdaki paragrafta açıklanmıştır.</w:t>
      </w:r>
      <w:r w:rsidRPr="0091078F">
        <w:rPr>
          <w:sz w:val="24"/>
          <w:szCs w:val="24"/>
        </w:rPr>
        <w:t xml:space="preserve"> </w:t>
      </w:r>
      <w:r w:rsidR="001B5202" w:rsidRPr="0091078F">
        <w:rPr>
          <w:sz w:val="24"/>
          <w:szCs w:val="24"/>
        </w:rPr>
        <w:t xml:space="preserve"> </w:t>
      </w:r>
      <w:r w:rsidRPr="0091078F">
        <w:rPr>
          <w:sz w:val="24"/>
          <w:szCs w:val="24"/>
        </w:rPr>
        <w:t xml:space="preserve">Sermaye Giderleri </w:t>
      </w:r>
      <w:r w:rsidR="00144478" w:rsidRPr="0091078F">
        <w:rPr>
          <w:sz w:val="24"/>
          <w:szCs w:val="24"/>
        </w:rPr>
        <w:t>yaklaşık</w:t>
      </w:r>
      <w:r w:rsidRPr="0091078F">
        <w:rPr>
          <w:sz w:val="24"/>
          <w:szCs w:val="24"/>
        </w:rPr>
        <w:t xml:space="preserve"> %</w:t>
      </w:r>
      <w:r w:rsidR="00144478" w:rsidRPr="0091078F">
        <w:rPr>
          <w:sz w:val="24"/>
          <w:szCs w:val="24"/>
        </w:rPr>
        <w:t xml:space="preserve"> </w:t>
      </w:r>
      <w:r w:rsidR="001B5202" w:rsidRPr="0091078F">
        <w:rPr>
          <w:sz w:val="24"/>
          <w:szCs w:val="24"/>
        </w:rPr>
        <w:t>1</w:t>
      </w:r>
      <w:r w:rsidR="00144478" w:rsidRPr="0091078F">
        <w:rPr>
          <w:sz w:val="24"/>
          <w:szCs w:val="24"/>
        </w:rPr>
        <w:t>2, 873</w:t>
      </w:r>
      <w:r w:rsidRPr="0091078F">
        <w:rPr>
          <w:sz w:val="24"/>
          <w:szCs w:val="24"/>
        </w:rPr>
        <w:t xml:space="preserve"> oranında </w:t>
      </w:r>
      <w:r w:rsidR="001B5202" w:rsidRPr="0091078F">
        <w:rPr>
          <w:sz w:val="24"/>
          <w:szCs w:val="24"/>
        </w:rPr>
        <w:t>artarak 121.403</w:t>
      </w:r>
      <w:r w:rsidR="00760A80" w:rsidRPr="0091078F">
        <w:rPr>
          <w:sz w:val="24"/>
          <w:szCs w:val="24"/>
        </w:rPr>
        <w:t>.-</w:t>
      </w:r>
      <w:r w:rsidR="004C72E6" w:rsidRPr="0091078F">
        <w:rPr>
          <w:sz w:val="24"/>
          <w:szCs w:val="24"/>
        </w:rPr>
        <w:t>TL</w:t>
      </w:r>
      <w:r w:rsidRPr="0091078F">
        <w:rPr>
          <w:sz w:val="24"/>
          <w:szCs w:val="24"/>
        </w:rPr>
        <w:t xml:space="preserve"> </w:t>
      </w:r>
      <w:r w:rsidR="007E51D1" w:rsidRPr="0091078F">
        <w:rPr>
          <w:sz w:val="24"/>
          <w:szCs w:val="24"/>
        </w:rPr>
        <w:t>olarak gerçekleşmiştir.</w:t>
      </w:r>
      <w:r w:rsidRPr="0091078F">
        <w:rPr>
          <w:sz w:val="24"/>
          <w:szCs w:val="24"/>
        </w:rPr>
        <w:t xml:space="preserve"> </w:t>
      </w:r>
    </w:p>
    <w:p w:rsidR="00853CCC" w:rsidRPr="0091078F" w:rsidRDefault="00853CCC" w:rsidP="00E67545">
      <w:pPr>
        <w:pStyle w:val="GvdeMetni"/>
        <w:spacing w:line="312" w:lineRule="auto"/>
        <w:ind w:firstLine="709"/>
        <w:jc w:val="both"/>
        <w:rPr>
          <w:sz w:val="24"/>
          <w:szCs w:val="24"/>
        </w:rPr>
      </w:pPr>
    </w:p>
    <w:p w:rsidR="004B1F4E" w:rsidRPr="0091078F" w:rsidRDefault="004C72E6" w:rsidP="004B1F4E">
      <w:pPr>
        <w:pStyle w:val="GvdeMetni"/>
        <w:spacing w:line="312" w:lineRule="auto"/>
        <w:ind w:firstLine="709"/>
        <w:jc w:val="both"/>
        <w:rPr>
          <w:sz w:val="24"/>
          <w:szCs w:val="24"/>
        </w:rPr>
      </w:pPr>
      <w:r w:rsidRPr="0091078F">
        <w:rPr>
          <w:sz w:val="24"/>
          <w:szCs w:val="24"/>
        </w:rPr>
        <w:t xml:space="preserve">Yükseköğretim Kurulu </w:t>
      </w:r>
      <w:r w:rsidR="00760A80" w:rsidRPr="0091078F">
        <w:rPr>
          <w:sz w:val="24"/>
          <w:szCs w:val="24"/>
        </w:rPr>
        <w:t>Başkanlığına 201</w:t>
      </w:r>
      <w:r w:rsidR="001B5202" w:rsidRPr="0091078F">
        <w:rPr>
          <w:sz w:val="24"/>
          <w:szCs w:val="24"/>
        </w:rPr>
        <w:t>2</w:t>
      </w:r>
      <w:r w:rsidR="00760A80" w:rsidRPr="0091078F">
        <w:rPr>
          <w:sz w:val="24"/>
          <w:szCs w:val="24"/>
        </w:rPr>
        <w:t xml:space="preserve"> ve 201</w:t>
      </w:r>
      <w:r w:rsidR="001B5202" w:rsidRPr="0091078F">
        <w:rPr>
          <w:sz w:val="24"/>
          <w:szCs w:val="24"/>
        </w:rPr>
        <w:t>3</w:t>
      </w:r>
      <w:r w:rsidR="004B1F4E" w:rsidRPr="0091078F">
        <w:rPr>
          <w:sz w:val="24"/>
          <w:szCs w:val="24"/>
        </w:rPr>
        <w:t xml:space="preserve"> yıllarında tahsis edilen başlangıç ödenekleri ve bu ödeneklerden ilk altışar aylık dönemlerde gerçekleşen harcama tutarları ve oranları aşağıdaki grafiklerde gösterilmiştir.</w:t>
      </w:r>
    </w:p>
    <w:p w:rsidR="00F83E9D" w:rsidRPr="0091078F" w:rsidRDefault="00F83E9D" w:rsidP="0033737C">
      <w:pPr>
        <w:pStyle w:val="GvdeMetni"/>
        <w:spacing w:line="312" w:lineRule="auto"/>
        <w:jc w:val="both"/>
        <w:rPr>
          <w:b/>
          <w:bCs/>
          <w:sz w:val="24"/>
          <w:szCs w:val="24"/>
          <w:u w:val="single"/>
        </w:rPr>
      </w:pPr>
    </w:p>
    <w:p w:rsidR="007E51D1" w:rsidRDefault="00355133" w:rsidP="00355133">
      <w:pPr>
        <w:pStyle w:val="GvdeMetni"/>
        <w:spacing w:before="120" w:after="120" w:line="312" w:lineRule="auto"/>
        <w:ind w:left="284" w:right="-108" w:hanging="284"/>
        <w:jc w:val="both"/>
        <w:rPr>
          <w:color w:val="333399"/>
          <w:sz w:val="18"/>
          <w:szCs w:val="18"/>
        </w:rPr>
      </w:pPr>
      <w:r w:rsidRPr="005957A3">
        <w:rPr>
          <w:color w:val="333399"/>
          <w:sz w:val="18"/>
          <w:szCs w:val="18"/>
        </w:rPr>
        <w:t xml:space="preserve">     </w:t>
      </w:r>
    </w:p>
    <w:p w:rsidR="0033737C" w:rsidRPr="005957A3" w:rsidRDefault="0033737C" w:rsidP="00355133">
      <w:pPr>
        <w:pStyle w:val="GvdeMetni"/>
        <w:spacing w:before="120" w:after="120" w:line="312" w:lineRule="auto"/>
        <w:ind w:left="284" w:right="-108" w:hanging="284"/>
        <w:jc w:val="both"/>
        <w:rPr>
          <w:color w:val="333399"/>
          <w:sz w:val="20"/>
        </w:rPr>
      </w:pPr>
    </w:p>
    <w:p w:rsidR="003466D9" w:rsidRDefault="003466D9" w:rsidP="00E4753F">
      <w:pPr>
        <w:pStyle w:val="GvdeMetni"/>
        <w:spacing w:before="120" w:after="120" w:line="312" w:lineRule="auto"/>
        <w:ind w:right="-286"/>
        <w:jc w:val="both"/>
        <w:rPr>
          <w:color w:val="333399"/>
          <w:sz w:val="20"/>
        </w:rPr>
        <w:sectPr w:rsidR="003466D9" w:rsidSect="00E4753F">
          <w:footerReference w:type="even" r:id="rId9"/>
          <w:footerReference w:type="default" r:id="rId10"/>
          <w:pgSz w:w="11906" w:h="16838"/>
          <w:pgMar w:top="1134" w:right="1418" w:bottom="1134" w:left="1418" w:header="709" w:footer="709" w:gutter="0"/>
          <w:pgNumType w:start="0"/>
          <w:cols w:space="708"/>
          <w:titlePg/>
          <w:docGrid w:linePitch="360"/>
        </w:sectPr>
      </w:pPr>
    </w:p>
    <w:p w:rsidR="00562D90" w:rsidRDefault="00355133" w:rsidP="00E4753F">
      <w:pPr>
        <w:pStyle w:val="GvdeMetni"/>
        <w:spacing w:before="120" w:after="120" w:line="312" w:lineRule="auto"/>
        <w:ind w:right="-286"/>
        <w:jc w:val="both"/>
        <w:rPr>
          <w:color w:val="333399"/>
          <w:sz w:val="20"/>
        </w:rPr>
      </w:pPr>
      <w:r w:rsidRPr="005957A3">
        <w:rPr>
          <w:color w:val="333399"/>
          <w:sz w:val="20"/>
        </w:rPr>
        <w:lastRenderedPageBreak/>
        <w:t xml:space="preserve">     </w:t>
      </w:r>
      <w:r w:rsidR="00BB125E">
        <w:rPr>
          <w:noProof/>
          <w:color w:val="333399"/>
          <w:sz w:val="20"/>
        </w:rPr>
        <w:drawing>
          <wp:inline distT="0" distB="0" distL="0" distR="0">
            <wp:extent cx="5838825" cy="4695825"/>
            <wp:effectExtent l="19050" t="0" r="9525" b="0"/>
            <wp:docPr id="3" name="Nesnesi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466D9" w:rsidRPr="005957A3" w:rsidRDefault="003466D9" w:rsidP="00E4753F">
      <w:pPr>
        <w:pStyle w:val="GvdeMetni"/>
        <w:spacing w:before="120" w:after="120" w:line="312" w:lineRule="auto"/>
        <w:ind w:right="-286"/>
        <w:jc w:val="both"/>
        <w:rPr>
          <w:color w:val="333399"/>
          <w:sz w:val="20"/>
        </w:rPr>
      </w:pPr>
    </w:p>
    <w:p w:rsidR="00A510FB" w:rsidRDefault="00E4753F" w:rsidP="00E4753F">
      <w:pPr>
        <w:pStyle w:val="GvdeMetni"/>
        <w:spacing w:before="120" w:after="120" w:line="312" w:lineRule="auto"/>
        <w:ind w:right="-288"/>
        <w:jc w:val="both"/>
        <w:rPr>
          <w:color w:val="333399"/>
          <w:sz w:val="20"/>
        </w:rPr>
      </w:pPr>
      <w:r w:rsidRPr="00E4753F">
        <w:rPr>
          <w:noProof/>
          <w:color w:val="333399"/>
          <w:sz w:val="20"/>
        </w:rPr>
        <w:drawing>
          <wp:inline distT="0" distB="0" distL="0" distR="0">
            <wp:extent cx="5838825" cy="3990975"/>
            <wp:effectExtent l="19050" t="0" r="9525" b="0"/>
            <wp:docPr id="5" name="Nesnesi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510FB" w:rsidRDefault="00A510FB" w:rsidP="00562D90">
      <w:pPr>
        <w:pStyle w:val="GvdeMetni"/>
        <w:spacing w:before="120" w:after="120" w:line="312" w:lineRule="auto"/>
        <w:ind w:right="-288" w:firstLine="708"/>
        <w:jc w:val="both"/>
        <w:rPr>
          <w:color w:val="333399"/>
          <w:sz w:val="20"/>
        </w:rPr>
      </w:pPr>
    </w:p>
    <w:p w:rsidR="00792506" w:rsidRDefault="00792506" w:rsidP="00D379CD">
      <w:pPr>
        <w:pStyle w:val="GvdeMetni"/>
        <w:spacing w:before="120" w:after="120" w:line="312" w:lineRule="auto"/>
        <w:ind w:right="139" w:firstLine="708"/>
        <w:jc w:val="both"/>
        <w:rPr>
          <w:sz w:val="22"/>
          <w:szCs w:val="22"/>
        </w:rPr>
      </w:pPr>
    </w:p>
    <w:p w:rsidR="00792506" w:rsidRDefault="00792506" w:rsidP="00D379CD">
      <w:pPr>
        <w:pStyle w:val="GvdeMetni"/>
        <w:spacing w:before="120" w:after="120" w:line="312" w:lineRule="auto"/>
        <w:ind w:right="139" w:firstLine="708"/>
        <w:jc w:val="both"/>
        <w:rPr>
          <w:sz w:val="22"/>
          <w:szCs w:val="22"/>
        </w:rPr>
      </w:pPr>
    </w:p>
    <w:p w:rsidR="00E67545" w:rsidRPr="0091078F" w:rsidRDefault="00E67545" w:rsidP="00D379CD">
      <w:pPr>
        <w:pStyle w:val="GvdeMetni"/>
        <w:spacing w:before="120" w:after="120" w:line="312" w:lineRule="auto"/>
        <w:ind w:right="139" w:firstLine="708"/>
        <w:jc w:val="both"/>
        <w:rPr>
          <w:sz w:val="24"/>
          <w:szCs w:val="24"/>
        </w:rPr>
      </w:pPr>
      <w:r w:rsidRPr="0091078F">
        <w:rPr>
          <w:sz w:val="24"/>
          <w:szCs w:val="24"/>
        </w:rPr>
        <w:t>Başkanlığımız harcama birimlerinin, 20</w:t>
      </w:r>
      <w:r w:rsidR="00355133" w:rsidRPr="0091078F">
        <w:rPr>
          <w:sz w:val="24"/>
          <w:szCs w:val="24"/>
        </w:rPr>
        <w:t>1</w:t>
      </w:r>
      <w:r w:rsidR="003466D9" w:rsidRPr="0091078F">
        <w:rPr>
          <w:sz w:val="24"/>
          <w:szCs w:val="24"/>
        </w:rPr>
        <w:t>3</w:t>
      </w:r>
      <w:r w:rsidRPr="0091078F">
        <w:rPr>
          <w:sz w:val="24"/>
          <w:szCs w:val="24"/>
        </w:rPr>
        <w:t xml:space="preserve"> yılının ilk altı ayında gerçekleştirdikleri bütçe giderleri ve başlangıç ödeneklerine göre gerçekleşme oranları ise aşağıdaki </w:t>
      </w:r>
      <w:r w:rsidR="00355133" w:rsidRPr="0091078F">
        <w:rPr>
          <w:sz w:val="24"/>
          <w:szCs w:val="24"/>
        </w:rPr>
        <w:t>tabloda gösterildiği şekildedir:</w:t>
      </w:r>
    </w:p>
    <w:p w:rsidR="00111BFC" w:rsidRDefault="00111BFC" w:rsidP="00D379CD">
      <w:pPr>
        <w:pStyle w:val="GvdeMetni"/>
        <w:spacing w:before="120" w:after="120" w:line="312" w:lineRule="auto"/>
        <w:ind w:right="139" w:firstLine="708"/>
        <w:jc w:val="both"/>
        <w:rPr>
          <w:sz w:val="22"/>
          <w:szCs w:val="22"/>
        </w:rPr>
      </w:pPr>
    </w:p>
    <w:tbl>
      <w:tblPr>
        <w:tblpPr w:leftFromText="141" w:rightFromText="141" w:horzAnchor="margin" w:tblpXSpec="center" w:tblpY="2700"/>
        <w:tblW w:w="8717" w:type="dxa"/>
        <w:tblCellMar>
          <w:left w:w="70" w:type="dxa"/>
          <w:right w:w="70" w:type="dxa"/>
        </w:tblCellMar>
        <w:tblLook w:val="0000"/>
      </w:tblPr>
      <w:tblGrid>
        <w:gridCol w:w="3756"/>
        <w:gridCol w:w="1701"/>
        <w:gridCol w:w="1701"/>
        <w:gridCol w:w="1559"/>
      </w:tblGrid>
      <w:tr w:rsidR="00111BFC" w:rsidRPr="005957A3" w:rsidTr="001973C3">
        <w:trPr>
          <w:trHeight w:val="605"/>
        </w:trPr>
        <w:tc>
          <w:tcPr>
            <w:tcW w:w="3756" w:type="dxa"/>
            <w:tcBorders>
              <w:top w:val="single" w:sz="8" w:space="0" w:color="auto"/>
              <w:left w:val="single" w:sz="8" w:space="0" w:color="auto"/>
              <w:bottom w:val="single" w:sz="8" w:space="0" w:color="auto"/>
              <w:right w:val="single" w:sz="8" w:space="0" w:color="auto"/>
            </w:tcBorders>
            <w:shd w:val="clear" w:color="auto" w:fill="auto"/>
            <w:noWrap/>
            <w:vAlign w:val="center"/>
          </w:tcPr>
          <w:p w:rsidR="00111BFC" w:rsidRPr="00747A4F" w:rsidRDefault="00111BFC" w:rsidP="007B2726">
            <w:pPr>
              <w:jc w:val="center"/>
              <w:rPr>
                <w:b/>
                <w:bCs/>
                <w:sz w:val="22"/>
                <w:szCs w:val="22"/>
              </w:rPr>
            </w:pPr>
            <w:r w:rsidRPr="00747A4F">
              <w:rPr>
                <w:b/>
                <w:bCs/>
                <w:sz w:val="22"/>
                <w:szCs w:val="22"/>
              </w:rPr>
              <w:t>Harcama Birimleri</w:t>
            </w:r>
          </w:p>
        </w:tc>
        <w:tc>
          <w:tcPr>
            <w:tcW w:w="1701" w:type="dxa"/>
            <w:tcBorders>
              <w:top w:val="single" w:sz="8" w:space="0" w:color="auto"/>
              <w:left w:val="nil"/>
              <w:bottom w:val="single" w:sz="8" w:space="0" w:color="auto"/>
              <w:right w:val="single" w:sz="8" w:space="0" w:color="auto"/>
            </w:tcBorders>
            <w:shd w:val="clear" w:color="auto" w:fill="auto"/>
            <w:vAlign w:val="center"/>
          </w:tcPr>
          <w:p w:rsidR="00111BFC" w:rsidRPr="00747A4F" w:rsidRDefault="00111BFC" w:rsidP="007B2726">
            <w:pPr>
              <w:jc w:val="center"/>
              <w:rPr>
                <w:b/>
                <w:bCs/>
                <w:sz w:val="22"/>
                <w:szCs w:val="22"/>
              </w:rPr>
            </w:pPr>
            <w:r w:rsidRPr="00747A4F">
              <w:rPr>
                <w:b/>
                <w:bCs/>
                <w:sz w:val="22"/>
                <w:szCs w:val="22"/>
              </w:rPr>
              <w:t>Başlangıç Ödeneği (TL)</w:t>
            </w:r>
          </w:p>
        </w:tc>
        <w:tc>
          <w:tcPr>
            <w:tcW w:w="1701" w:type="dxa"/>
            <w:tcBorders>
              <w:top w:val="single" w:sz="8" w:space="0" w:color="auto"/>
              <w:left w:val="nil"/>
              <w:bottom w:val="single" w:sz="8" w:space="0" w:color="auto"/>
              <w:right w:val="single" w:sz="8" w:space="0" w:color="auto"/>
            </w:tcBorders>
            <w:shd w:val="clear" w:color="auto" w:fill="auto"/>
            <w:vAlign w:val="center"/>
          </w:tcPr>
          <w:p w:rsidR="00111BFC" w:rsidRPr="00747A4F" w:rsidRDefault="00111BFC" w:rsidP="007B2726">
            <w:pPr>
              <w:jc w:val="center"/>
              <w:rPr>
                <w:b/>
                <w:bCs/>
                <w:sz w:val="22"/>
                <w:szCs w:val="22"/>
              </w:rPr>
            </w:pPr>
            <w:r w:rsidRPr="00747A4F">
              <w:rPr>
                <w:b/>
                <w:bCs/>
                <w:sz w:val="22"/>
                <w:szCs w:val="22"/>
              </w:rPr>
              <w:t>Ocak-Haziran Gerçekleşme Tutarı (TL)</w:t>
            </w:r>
          </w:p>
        </w:tc>
        <w:tc>
          <w:tcPr>
            <w:tcW w:w="1559" w:type="dxa"/>
            <w:tcBorders>
              <w:top w:val="single" w:sz="8" w:space="0" w:color="auto"/>
              <w:left w:val="nil"/>
              <w:bottom w:val="single" w:sz="8" w:space="0" w:color="auto"/>
              <w:right w:val="single" w:sz="8" w:space="0" w:color="auto"/>
            </w:tcBorders>
            <w:shd w:val="clear" w:color="auto" w:fill="auto"/>
            <w:vAlign w:val="center"/>
          </w:tcPr>
          <w:p w:rsidR="00111BFC" w:rsidRPr="00747A4F" w:rsidRDefault="00111BFC" w:rsidP="007B2726">
            <w:pPr>
              <w:jc w:val="center"/>
              <w:rPr>
                <w:b/>
                <w:bCs/>
                <w:sz w:val="22"/>
                <w:szCs w:val="22"/>
              </w:rPr>
            </w:pPr>
            <w:r w:rsidRPr="00747A4F">
              <w:rPr>
                <w:b/>
                <w:bCs/>
                <w:sz w:val="22"/>
                <w:szCs w:val="22"/>
              </w:rPr>
              <w:t>Gerçekleşme Oranı(</w:t>
            </w:r>
            <w:r w:rsidRPr="00747A4F">
              <w:rPr>
                <w:sz w:val="22"/>
                <w:szCs w:val="22"/>
              </w:rPr>
              <w:t>%</w:t>
            </w:r>
            <w:r w:rsidRPr="00747A4F">
              <w:rPr>
                <w:b/>
                <w:bCs/>
                <w:sz w:val="22"/>
                <w:szCs w:val="22"/>
              </w:rPr>
              <w:t>)</w:t>
            </w:r>
          </w:p>
        </w:tc>
      </w:tr>
      <w:tr w:rsidR="00111BFC" w:rsidRPr="005957A3" w:rsidTr="001973C3">
        <w:trPr>
          <w:trHeight w:val="298"/>
        </w:trPr>
        <w:tc>
          <w:tcPr>
            <w:tcW w:w="3756" w:type="dxa"/>
            <w:tcBorders>
              <w:top w:val="single" w:sz="8" w:space="0" w:color="auto"/>
              <w:left w:val="single" w:sz="8" w:space="0" w:color="auto"/>
              <w:bottom w:val="single" w:sz="8" w:space="0" w:color="auto"/>
              <w:right w:val="single" w:sz="8" w:space="0" w:color="auto"/>
            </w:tcBorders>
            <w:shd w:val="clear" w:color="auto" w:fill="auto"/>
            <w:noWrap/>
            <w:vAlign w:val="bottom"/>
          </w:tcPr>
          <w:p w:rsidR="00111BFC" w:rsidRPr="00747A4F" w:rsidRDefault="00111BFC" w:rsidP="007B2726">
            <w:pPr>
              <w:rPr>
                <w:b/>
                <w:sz w:val="22"/>
                <w:szCs w:val="22"/>
              </w:rPr>
            </w:pPr>
            <w:r w:rsidRPr="00747A4F">
              <w:rPr>
                <w:b/>
                <w:sz w:val="22"/>
                <w:szCs w:val="22"/>
              </w:rPr>
              <w:t>Özel Kalem Müdürlüğü</w:t>
            </w:r>
          </w:p>
        </w:tc>
        <w:tc>
          <w:tcPr>
            <w:tcW w:w="1701" w:type="dxa"/>
            <w:tcBorders>
              <w:top w:val="single" w:sz="8" w:space="0" w:color="auto"/>
              <w:left w:val="nil"/>
              <w:bottom w:val="single" w:sz="8" w:space="0" w:color="auto"/>
              <w:right w:val="single" w:sz="8" w:space="0" w:color="auto"/>
            </w:tcBorders>
            <w:shd w:val="clear" w:color="auto" w:fill="auto"/>
            <w:noWrap/>
            <w:vAlign w:val="bottom"/>
          </w:tcPr>
          <w:p w:rsidR="00111BFC" w:rsidRPr="00747A4F" w:rsidRDefault="00111BFC" w:rsidP="007B2726">
            <w:pPr>
              <w:jc w:val="right"/>
              <w:rPr>
                <w:b/>
                <w:sz w:val="22"/>
                <w:szCs w:val="22"/>
              </w:rPr>
            </w:pPr>
            <w:r w:rsidRPr="00747A4F">
              <w:rPr>
                <w:b/>
                <w:sz w:val="22"/>
                <w:szCs w:val="22"/>
              </w:rPr>
              <w:t>4.708.000</w:t>
            </w:r>
          </w:p>
        </w:tc>
        <w:tc>
          <w:tcPr>
            <w:tcW w:w="1701" w:type="dxa"/>
            <w:tcBorders>
              <w:top w:val="single" w:sz="8" w:space="0" w:color="auto"/>
              <w:left w:val="nil"/>
              <w:bottom w:val="single" w:sz="8" w:space="0" w:color="auto"/>
              <w:right w:val="single" w:sz="8" w:space="0" w:color="auto"/>
            </w:tcBorders>
            <w:shd w:val="clear" w:color="auto" w:fill="auto"/>
            <w:noWrap/>
            <w:vAlign w:val="bottom"/>
          </w:tcPr>
          <w:p w:rsidR="00111BFC" w:rsidRPr="00747A4F" w:rsidRDefault="00111BFC" w:rsidP="00B50FB4">
            <w:pPr>
              <w:jc w:val="right"/>
              <w:rPr>
                <w:b/>
                <w:sz w:val="22"/>
                <w:szCs w:val="22"/>
              </w:rPr>
            </w:pPr>
            <w:r w:rsidRPr="00747A4F">
              <w:rPr>
                <w:b/>
                <w:sz w:val="22"/>
                <w:szCs w:val="22"/>
              </w:rPr>
              <w:t>57.</w:t>
            </w:r>
            <w:r w:rsidR="00B50FB4">
              <w:rPr>
                <w:b/>
                <w:sz w:val="22"/>
                <w:szCs w:val="22"/>
              </w:rPr>
              <w:t>251</w:t>
            </w:r>
            <w:r w:rsidRPr="00747A4F">
              <w:rPr>
                <w:b/>
                <w:sz w:val="22"/>
                <w:szCs w:val="22"/>
              </w:rPr>
              <w:t>.825</w:t>
            </w:r>
          </w:p>
        </w:tc>
        <w:tc>
          <w:tcPr>
            <w:tcW w:w="1559" w:type="dxa"/>
            <w:tcBorders>
              <w:top w:val="single" w:sz="8" w:space="0" w:color="auto"/>
              <w:left w:val="nil"/>
              <w:bottom w:val="single" w:sz="8" w:space="0" w:color="auto"/>
              <w:right w:val="single" w:sz="8" w:space="0" w:color="auto"/>
            </w:tcBorders>
            <w:shd w:val="clear" w:color="auto" w:fill="auto"/>
            <w:noWrap/>
            <w:vAlign w:val="bottom"/>
          </w:tcPr>
          <w:p w:rsidR="00111BFC" w:rsidRPr="00747A4F" w:rsidRDefault="00792506" w:rsidP="0091078F">
            <w:pPr>
              <w:jc w:val="center"/>
              <w:rPr>
                <w:b/>
                <w:sz w:val="22"/>
                <w:szCs w:val="22"/>
              </w:rPr>
            </w:pPr>
            <w:r w:rsidRPr="00747A4F">
              <w:rPr>
                <w:b/>
                <w:sz w:val="22"/>
                <w:szCs w:val="22"/>
              </w:rPr>
              <w:t>1.1</w:t>
            </w:r>
            <w:r w:rsidR="00111BFC" w:rsidRPr="00747A4F">
              <w:rPr>
                <w:b/>
                <w:sz w:val="22"/>
                <w:szCs w:val="22"/>
              </w:rPr>
              <w:t>21,79</w:t>
            </w:r>
          </w:p>
        </w:tc>
      </w:tr>
      <w:tr w:rsidR="00111BFC" w:rsidRPr="005957A3" w:rsidTr="001973C3">
        <w:trPr>
          <w:trHeight w:val="335"/>
        </w:trPr>
        <w:tc>
          <w:tcPr>
            <w:tcW w:w="3756" w:type="dxa"/>
            <w:tcBorders>
              <w:top w:val="single" w:sz="8" w:space="0" w:color="auto"/>
              <w:left w:val="single" w:sz="8" w:space="0" w:color="auto"/>
              <w:bottom w:val="single" w:sz="8" w:space="0" w:color="auto"/>
              <w:right w:val="single" w:sz="8" w:space="0" w:color="auto"/>
            </w:tcBorders>
            <w:shd w:val="clear" w:color="auto" w:fill="auto"/>
            <w:noWrap/>
            <w:vAlign w:val="bottom"/>
          </w:tcPr>
          <w:p w:rsidR="00111BFC" w:rsidRPr="00747A4F" w:rsidRDefault="00111BFC" w:rsidP="007B2726">
            <w:pPr>
              <w:rPr>
                <w:b/>
                <w:sz w:val="22"/>
                <w:szCs w:val="22"/>
              </w:rPr>
            </w:pPr>
            <w:r w:rsidRPr="00747A4F">
              <w:rPr>
                <w:b/>
                <w:sz w:val="22"/>
                <w:szCs w:val="22"/>
              </w:rPr>
              <w:t>Genel Sekreterlik</w:t>
            </w:r>
          </w:p>
        </w:tc>
        <w:tc>
          <w:tcPr>
            <w:tcW w:w="1701" w:type="dxa"/>
            <w:tcBorders>
              <w:top w:val="single" w:sz="8" w:space="0" w:color="auto"/>
              <w:left w:val="nil"/>
              <w:bottom w:val="single" w:sz="8" w:space="0" w:color="auto"/>
              <w:right w:val="single" w:sz="8" w:space="0" w:color="auto"/>
            </w:tcBorders>
            <w:shd w:val="clear" w:color="auto" w:fill="auto"/>
            <w:noWrap/>
            <w:vAlign w:val="bottom"/>
          </w:tcPr>
          <w:p w:rsidR="00111BFC" w:rsidRPr="00747A4F" w:rsidRDefault="00111BFC" w:rsidP="007B2726">
            <w:pPr>
              <w:jc w:val="right"/>
              <w:rPr>
                <w:b/>
                <w:sz w:val="22"/>
                <w:szCs w:val="22"/>
              </w:rPr>
            </w:pPr>
            <w:r w:rsidRPr="00747A4F">
              <w:rPr>
                <w:b/>
                <w:sz w:val="22"/>
                <w:szCs w:val="22"/>
              </w:rPr>
              <w:t>25.380.000</w:t>
            </w:r>
          </w:p>
        </w:tc>
        <w:tc>
          <w:tcPr>
            <w:tcW w:w="1701" w:type="dxa"/>
            <w:tcBorders>
              <w:top w:val="single" w:sz="8" w:space="0" w:color="auto"/>
              <w:left w:val="nil"/>
              <w:bottom w:val="single" w:sz="8" w:space="0" w:color="auto"/>
              <w:right w:val="single" w:sz="8" w:space="0" w:color="auto"/>
            </w:tcBorders>
            <w:shd w:val="clear" w:color="auto" w:fill="auto"/>
            <w:noWrap/>
            <w:vAlign w:val="bottom"/>
          </w:tcPr>
          <w:p w:rsidR="00111BFC" w:rsidRPr="00747A4F" w:rsidRDefault="00111BFC" w:rsidP="007B2726">
            <w:pPr>
              <w:jc w:val="right"/>
              <w:rPr>
                <w:b/>
                <w:sz w:val="22"/>
                <w:szCs w:val="22"/>
              </w:rPr>
            </w:pPr>
            <w:r w:rsidRPr="00747A4F">
              <w:rPr>
                <w:b/>
                <w:sz w:val="22"/>
                <w:szCs w:val="22"/>
              </w:rPr>
              <w:t>14.623.179</w:t>
            </w:r>
          </w:p>
        </w:tc>
        <w:tc>
          <w:tcPr>
            <w:tcW w:w="1559" w:type="dxa"/>
            <w:tcBorders>
              <w:top w:val="single" w:sz="8" w:space="0" w:color="auto"/>
              <w:left w:val="nil"/>
              <w:bottom w:val="single" w:sz="8" w:space="0" w:color="auto"/>
              <w:right w:val="single" w:sz="8" w:space="0" w:color="auto"/>
            </w:tcBorders>
            <w:shd w:val="clear" w:color="auto" w:fill="auto"/>
            <w:noWrap/>
            <w:vAlign w:val="bottom"/>
          </w:tcPr>
          <w:p w:rsidR="00111BFC" w:rsidRPr="00747A4F" w:rsidRDefault="00111BFC" w:rsidP="007B2726">
            <w:pPr>
              <w:jc w:val="center"/>
              <w:rPr>
                <w:b/>
                <w:sz w:val="22"/>
                <w:szCs w:val="22"/>
              </w:rPr>
            </w:pPr>
            <w:r w:rsidRPr="00747A4F">
              <w:rPr>
                <w:b/>
                <w:sz w:val="22"/>
                <w:szCs w:val="22"/>
              </w:rPr>
              <w:t xml:space="preserve"> </w:t>
            </w:r>
            <w:r w:rsidR="0091078F">
              <w:rPr>
                <w:b/>
                <w:sz w:val="22"/>
                <w:szCs w:val="22"/>
              </w:rPr>
              <w:t xml:space="preserve">    </w:t>
            </w:r>
            <w:r w:rsidRPr="00747A4F">
              <w:rPr>
                <w:b/>
                <w:sz w:val="22"/>
                <w:szCs w:val="22"/>
              </w:rPr>
              <w:t>57,62</w:t>
            </w:r>
          </w:p>
        </w:tc>
      </w:tr>
      <w:tr w:rsidR="00111BFC" w:rsidRPr="005957A3" w:rsidTr="001973C3">
        <w:trPr>
          <w:trHeight w:val="335"/>
        </w:trPr>
        <w:tc>
          <w:tcPr>
            <w:tcW w:w="3756" w:type="dxa"/>
            <w:tcBorders>
              <w:top w:val="single" w:sz="8" w:space="0" w:color="auto"/>
              <w:left w:val="single" w:sz="8" w:space="0" w:color="auto"/>
              <w:bottom w:val="single" w:sz="8" w:space="0" w:color="auto"/>
              <w:right w:val="single" w:sz="8" w:space="0" w:color="auto"/>
            </w:tcBorders>
            <w:shd w:val="clear" w:color="auto" w:fill="auto"/>
            <w:noWrap/>
            <w:vAlign w:val="bottom"/>
          </w:tcPr>
          <w:p w:rsidR="00111BFC" w:rsidRPr="00747A4F" w:rsidRDefault="00747A4F" w:rsidP="007B2726">
            <w:pPr>
              <w:rPr>
                <w:sz w:val="20"/>
                <w:szCs w:val="20"/>
              </w:rPr>
            </w:pPr>
            <w:r w:rsidRPr="00747A4F">
              <w:rPr>
                <w:sz w:val="20"/>
                <w:szCs w:val="20"/>
              </w:rPr>
              <w:t xml:space="preserve">             </w:t>
            </w:r>
            <w:r w:rsidR="00111BFC" w:rsidRPr="00747A4F">
              <w:rPr>
                <w:sz w:val="20"/>
                <w:szCs w:val="20"/>
              </w:rPr>
              <w:t xml:space="preserve">Genel </w:t>
            </w:r>
          </w:p>
        </w:tc>
        <w:tc>
          <w:tcPr>
            <w:tcW w:w="1701" w:type="dxa"/>
            <w:tcBorders>
              <w:top w:val="single" w:sz="8" w:space="0" w:color="auto"/>
              <w:left w:val="nil"/>
              <w:bottom w:val="single" w:sz="8" w:space="0" w:color="auto"/>
              <w:right w:val="single" w:sz="8" w:space="0" w:color="auto"/>
            </w:tcBorders>
            <w:shd w:val="clear" w:color="auto" w:fill="auto"/>
            <w:noWrap/>
            <w:vAlign w:val="bottom"/>
          </w:tcPr>
          <w:p w:rsidR="00111BFC" w:rsidRPr="00747A4F" w:rsidRDefault="00111BFC" w:rsidP="007B2726">
            <w:pPr>
              <w:jc w:val="right"/>
              <w:rPr>
                <w:sz w:val="22"/>
                <w:szCs w:val="22"/>
              </w:rPr>
            </w:pPr>
            <w:r w:rsidRPr="00747A4F">
              <w:rPr>
                <w:sz w:val="22"/>
                <w:szCs w:val="22"/>
              </w:rPr>
              <w:t>-------</w:t>
            </w:r>
          </w:p>
        </w:tc>
        <w:tc>
          <w:tcPr>
            <w:tcW w:w="1701" w:type="dxa"/>
            <w:tcBorders>
              <w:top w:val="single" w:sz="8" w:space="0" w:color="auto"/>
              <w:left w:val="nil"/>
              <w:bottom w:val="single" w:sz="8" w:space="0" w:color="auto"/>
              <w:right w:val="single" w:sz="8" w:space="0" w:color="auto"/>
            </w:tcBorders>
            <w:shd w:val="clear" w:color="auto" w:fill="auto"/>
            <w:noWrap/>
            <w:vAlign w:val="bottom"/>
          </w:tcPr>
          <w:p w:rsidR="00111BFC" w:rsidRPr="00747A4F" w:rsidRDefault="00111BFC" w:rsidP="007B2726">
            <w:pPr>
              <w:jc w:val="right"/>
              <w:rPr>
                <w:sz w:val="20"/>
                <w:szCs w:val="20"/>
              </w:rPr>
            </w:pPr>
            <w:r w:rsidRPr="00747A4F">
              <w:rPr>
                <w:sz w:val="20"/>
                <w:szCs w:val="20"/>
              </w:rPr>
              <w:t>12.766.049</w:t>
            </w:r>
          </w:p>
        </w:tc>
        <w:tc>
          <w:tcPr>
            <w:tcW w:w="1559" w:type="dxa"/>
            <w:tcBorders>
              <w:top w:val="single" w:sz="8" w:space="0" w:color="auto"/>
              <w:left w:val="nil"/>
              <w:bottom w:val="single" w:sz="8" w:space="0" w:color="auto"/>
              <w:right w:val="single" w:sz="8" w:space="0" w:color="auto"/>
            </w:tcBorders>
            <w:shd w:val="clear" w:color="auto" w:fill="auto"/>
            <w:noWrap/>
            <w:vAlign w:val="bottom"/>
          </w:tcPr>
          <w:p w:rsidR="00111BFC" w:rsidRPr="0033737C" w:rsidRDefault="00111BFC" w:rsidP="007B2726">
            <w:pPr>
              <w:jc w:val="center"/>
              <w:rPr>
                <w:b/>
                <w:sz w:val="18"/>
                <w:szCs w:val="18"/>
              </w:rPr>
            </w:pPr>
          </w:p>
        </w:tc>
      </w:tr>
      <w:tr w:rsidR="00111BFC" w:rsidRPr="005957A3" w:rsidTr="001973C3">
        <w:trPr>
          <w:trHeight w:val="335"/>
        </w:trPr>
        <w:tc>
          <w:tcPr>
            <w:tcW w:w="3756" w:type="dxa"/>
            <w:tcBorders>
              <w:top w:val="single" w:sz="8" w:space="0" w:color="auto"/>
              <w:left w:val="single" w:sz="8" w:space="0" w:color="auto"/>
              <w:bottom w:val="single" w:sz="8" w:space="0" w:color="auto"/>
              <w:right w:val="single" w:sz="8" w:space="0" w:color="auto"/>
            </w:tcBorders>
            <w:shd w:val="clear" w:color="auto" w:fill="auto"/>
            <w:noWrap/>
            <w:vAlign w:val="bottom"/>
          </w:tcPr>
          <w:p w:rsidR="00111BFC" w:rsidRPr="00747A4F" w:rsidRDefault="00111BFC" w:rsidP="00747A4F">
            <w:pPr>
              <w:rPr>
                <w:sz w:val="20"/>
                <w:szCs w:val="20"/>
              </w:rPr>
            </w:pPr>
            <w:r w:rsidRPr="00747A4F">
              <w:rPr>
                <w:sz w:val="20"/>
                <w:szCs w:val="20"/>
              </w:rPr>
              <w:t xml:space="preserve">             İdari ve Mali İşler Dire </w:t>
            </w:r>
            <w:proofErr w:type="spellStart"/>
            <w:r w:rsidRPr="00747A4F">
              <w:rPr>
                <w:sz w:val="20"/>
                <w:szCs w:val="20"/>
              </w:rPr>
              <w:t>Başk</w:t>
            </w:r>
            <w:proofErr w:type="spellEnd"/>
            <w:r w:rsidRPr="00747A4F">
              <w:rPr>
                <w:sz w:val="20"/>
                <w:szCs w:val="20"/>
              </w:rPr>
              <w:t>.</w:t>
            </w:r>
          </w:p>
        </w:tc>
        <w:tc>
          <w:tcPr>
            <w:tcW w:w="1701" w:type="dxa"/>
            <w:tcBorders>
              <w:top w:val="single" w:sz="8" w:space="0" w:color="auto"/>
              <w:left w:val="nil"/>
              <w:bottom w:val="single" w:sz="8" w:space="0" w:color="auto"/>
              <w:right w:val="single" w:sz="8" w:space="0" w:color="auto"/>
            </w:tcBorders>
            <w:shd w:val="clear" w:color="auto" w:fill="auto"/>
            <w:noWrap/>
            <w:vAlign w:val="bottom"/>
          </w:tcPr>
          <w:p w:rsidR="00111BFC" w:rsidRPr="00747A4F" w:rsidRDefault="00111BFC" w:rsidP="007B2726">
            <w:pPr>
              <w:jc w:val="right"/>
              <w:rPr>
                <w:sz w:val="22"/>
                <w:szCs w:val="22"/>
              </w:rPr>
            </w:pPr>
            <w:r w:rsidRPr="00747A4F">
              <w:rPr>
                <w:sz w:val="22"/>
                <w:szCs w:val="22"/>
              </w:rPr>
              <w:t>-------</w:t>
            </w:r>
          </w:p>
        </w:tc>
        <w:tc>
          <w:tcPr>
            <w:tcW w:w="1701" w:type="dxa"/>
            <w:tcBorders>
              <w:top w:val="single" w:sz="8" w:space="0" w:color="auto"/>
              <w:left w:val="nil"/>
              <w:bottom w:val="single" w:sz="8" w:space="0" w:color="auto"/>
              <w:right w:val="single" w:sz="8" w:space="0" w:color="auto"/>
            </w:tcBorders>
            <w:shd w:val="clear" w:color="auto" w:fill="auto"/>
            <w:noWrap/>
            <w:vAlign w:val="bottom"/>
          </w:tcPr>
          <w:p w:rsidR="00111BFC" w:rsidRPr="00747A4F" w:rsidRDefault="00111BFC" w:rsidP="007B2726">
            <w:pPr>
              <w:jc w:val="right"/>
              <w:rPr>
                <w:sz w:val="20"/>
                <w:szCs w:val="20"/>
              </w:rPr>
            </w:pPr>
            <w:r w:rsidRPr="00747A4F">
              <w:rPr>
                <w:sz w:val="20"/>
                <w:szCs w:val="20"/>
              </w:rPr>
              <w:t>1.573.152</w:t>
            </w:r>
          </w:p>
        </w:tc>
        <w:tc>
          <w:tcPr>
            <w:tcW w:w="1559" w:type="dxa"/>
            <w:tcBorders>
              <w:top w:val="single" w:sz="8" w:space="0" w:color="auto"/>
              <w:left w:val="nil"/>
              <w:bottom w:val="single" w:sz="8" w:space="0" w:color="auto"/>
              <w:right w:val="single" w:sz="8" w:space="0" w:color="auto"/>
            </w:tcBorders>
            <w:shd w:val="clear" w:color="auto" w:fill="auto"/>
            <w:noWrap/>
            <w:vAlign w:val="bottom"/>
          </w:tcPr>
          <w:p w:rsidR="00111BFC" w:rsidRPr="0033737C" w:rsidRDefault="00111BFC" w:rsidP="007B2726">
            <w:pPr>
              <w:jc w:val="center"/>
              <w:rPr>
                <w:b/>
                <w:sz w:val="18"/>
                <w:szCs w:val="18"/>
              </w:rPr>
            </w:pPr>
          </w:p>
        </w:tc>
      </w:tr>
      <w:tr w:rsidR="00111BFC" w:rsidRPr="005957A3" w:rsidTr="001973C3">
        <w:trPr>
          <w:trHeight w:val="335"/>
        </w:trPr>
        <w:tc>
          <w:tcPr>
            <w:tcW w:w="3756" w:type="dxa"/>
            <w:tcBorders>
              <w:top w:val="single" w:sz="8" w:space="0" w:color="auto"/>
              <w:left w:val="single" w:sz="8" w:space="0" w:color="auto"/>
              <w:bottom w:val="single" w:sz="8" w:space="0" w:color="auto"/>
              <w:right w:val="single" w:sz="8" w:space="0" w:color="auto"/>
            </w:tcBorders>
            <w:shd w:val="clear" w:color="auto" w:fill="auto"/>
            <w:noWrap/>
            <w:vAlign w:val="bottom"/>
          </w:tcPr>
          <w:p w:rsidR="00111BFC" w:rsidRPr="00747A4F" w:rsidRDefault="00111BFC" w:rsidP="00747A4F">
            <w:pPr>
              <w:rPr>
                <w:sz w:val="20"/>
                <w:szCs w:val="20"/>
              </w:rPr>
            </w:pPr>
            <w:r w:rsidRPr="00747A4F">
              <w:rPr>
                <w:sz w:val="20"/>
                <w:szCs w:val="20"/>
              </w:rPr>
              <w:t xml:space="preserve">             İnşaat Bakım Onarım Dire </w:t>
            </w:r>
            <w:proofErr w:type="spellStart"/>
            <w:r w:rsidRPr="00747A4F">
              <w:rPr>
                <w:sz w:val="20"/>
                <w:szCs w:val="20"/>
              </w:rPr>
              <w:t>Başk</w:t>
            </w:r>
            <w:proofErr w:type="spellEnd"/>
          </w:p>
        </w:tc>
        <w:tc>
          <w:tcPr>
            <w:tcW w:w="1701" w:type="dxa"/>
            <w:tcBorders>
              <w:top w:val="single" w:sz="8" w:space="0" w:color="auto"/>
              <w:left w:val="nil"/>
              <w:bottom w:val="single" w:sz="8" w:space="0" w:color="auto"/>
              <w:right w:val="single" w:sz="8" w:space="0" w:color="auto"/>
            </w:tcBorders>
            <w:shd w:val="clear" w:color="auto" w:fill="auto"/>
            <w:noWrap/>
            <w:vAlign w:val="bottom"/>
          </w:tcPr>
          <w:p w:rsidR="00111BFC" w:rsidRPr="00747A4F" w:rsidRDefault="00111BFC" w:rsidP="007B2726">
            <w:pPr>
              <w:jc w:val="right"/>
              <w:rPr>
                <w:sz w:val="22"/>
                <w:szCs w:val="22"/>
              </w:rPr>
            </w:pPr>
            <w:r w:rsidRPr="00747A4F">
              <w:rPr>
                <w:sz w:val="22"/>
                <w:szCs w:val="22"/>
              </w:rPr>
              <w:t>-------</w:t>
            </w:r>
          </w:p>
        </w:tc>
        <w:tc>
          <w:tcPr>
            <w:tcW w:w="1701" w:type="dxa"/>
            <w:tcBorders>
              <w:top w:val="single" w:sz="8" w:space="0" w:color="auto"/>
              <w:left w:val="nil"/>
              <w:bottom w:val="single" w:sz="8" w:space="0" w:color="auto"/>
              <w:right w:val="single" w:sz="8" w:space="0" w:color="auto"/>
            </w:tcBorders>
            <w:shd w:val="clear" w:color="auto" w:fill="auto"/>
            <w:noWrap/>
            <w:vAlign w:val="bottom"/>
          </w:tcPr>
          <w:p w:rsidR="00111BFC" w:rsidRPr="00747A4F" w:rsidRDefault="00111BFC" w:rsidP="007B2726">
            <w:pPr>
              <w:jc w:val="right"/>
              <w:rPr>
                <w:sz w:val="20"/>
                <w:szCs w:val="20"/>
              </w:rPr>
            </w:pPr>
            <w:r w:rsidRPr="00747A4F">
              <w:rPr>
                <w:sz w:val="20"/>
                <w:szCs w:val="20"/>
              </w:rPr>
              <w:t>167.444</w:t>
            </w:r>
          </w:p>
        </w:tc>
        <w:tc>
          <w:tcPr>
            <w:tcW w:w="1559" w:type="dxa"/>
            <w:tcBorders>
              <w:top w:val="single" w:sz="8" w:space="0" w:color="auto"/>
              <w:left w:val="nil"/>
              <w:bottom w:val="single" w:sz="8" w:space="0" w:color="auto"/>
              <w:right w:val="single" w:sz="8" w:space="0" w:color="auto"/>
            </w:tcBorders>
            <w:shd w:val="clear" w:color="auto" w:fill="auto"/>
            <w:noWrap/>
            <w:vAlign w:val="bottom"/>
          </w:tcPr>
          <w:p w:rsidR="00111BFC" w:rsidRPr="0033737C" w:rsidRDefault="00111BFC" w:rsidP="007B2726">
            <w:pPr>
              <w:jc w:val="center"/>
              <w:rPr>
                <w:b/>
                <w:sz w:val="18"/>
                <w:szCs w:val="18"/>
              </w:rPr>
            </w:pPr>
          </w:p>
        </w:tc>
      </w:tr>
      <w:tr w:rsidR="00111BFC" w:rsidRPr="005957A3" w:rsidTr="001973C3">
        <w:trPr>
          <w:trHeight w:val="335"/>
        </w:trPr>
        <w:tc>
          <w:tcPr>
            <w:tcW w:w="3756" w:type="dxa"/>
            <w:tcBorders>
              <w:top w:val="single" w:sz="8" w:space="0" w:color="auto"/>
              <w:left w:val="single" w:sz="8" w:space="0" w:color="auto"/>
              <w:bottom w:val="single" w:sz="8" w:space="0" w:color="auto"/>
              <w:right w:val="single" w:sz="8" w:space="0" w:color="auto"/>
            </w:tcBorders>
            <w:shd w:val="clear" w:color="auto" w:fill="auto"/>
            <w:noWrap/>
            <w:vAlign w:val="bottom"/>
          </w:tcPr>
          <w:p w:rsidR="00111BFC" w:rsidRPr="00747A4F" w:rsidRDefault="00111BFC" w:rsidP="00747A4F">
            <w:pPr>
              <w:rPr>
                <w:sz w:val="20"/>
                <w:szCs w:val="20"/>
              </w:rPr>
            </w:pPr>
            <w:r w:rsidRPr="00747A4F">
              <w:rPr>
                <w:sz w:val="20"/>
                <w:szCs w:val="20"/>
              </w:rPr>
              <w:t xml:space="preserve">             Hukuk Müşavirliği</w:t>
            </w:r>
          </w:p>
        </w:tc>
        <w:tc>
          <w:tcPr>
            <w:tcW w:w="1701" w:type="dxa"/>
            <w:tcBorders>
              <w:top w:val="single" w:sz="8" w:space="0" w:color="auto"/>
              <w:left w:val="nil"/>
              <w:bottom w:val="single" w:sz="8" w:space="0" w:color="auto"/>
              <w:right w:val="single" w:sz="8" w:space="0" w:color="auto"/>
            </w:tcBorders>
            <w:shd w:val="clear" w:color="auto" w:fill="auto"/>
            <w:noWrap/>
            <w:vAlign w:val="bottom"/>
          </w:tcPr>
          <w:p w:rsidR="00111BFC" w:rsidRPr="00747A4F" w:rsidRDefault="00111BFC" w:rsidP="007B2726">
            <w:pPr>
              <w:jc w:val="right"/>
              <w:rPr>
                <w:sz w:val="22"/>
                <w:szCs w:val="22"/>
              </w:rPr>
            </w:pPr>
            <w:r w:rsidRPr="00747A4F">
              <w:rPr>
                <w:sz w:val="22"/>
                <w:szCs w:val="22"/>
              </w:rPr>
              <w:t>-------</w:t>
            </w:r>
          </w:p>
        </w:tc>
        <w:tc>
          <w:tcPr>
            <w:tcW w:w="1701" w:type="dxa"/>
            <w:tcBorders>
              <w:top w:val="single" w:sz="8" w:space="0" w:color="auto"/>
              <w:left w:val="nil"/>
              <w:bottom w:val="single" w:sz="8" w:space="0" w:color="auto"/>
              <w:right w:val="single" w:sz="8" w:space="0" w:color="auto"/>
            </w:tcBorders>
            <w:shd w:val="clear" w:color="auto" w:fill="auto"/>
            <w:noWrap/>
            <w:vAlign w:val="bottom"/>
          </w:tcPr>
          <w:p w:rsidR="00111BFC" w:rsidRPr="00747A4F" w:rsidRDefault="00111BFC" w:rsidP="007B2726">
            <w:pPr>
              <w:jc w:val="right"/>
              <w:rPr>
                <w:sz w:val="20"/>
                <w:szCs w:val="20"/>
              </w:rPr>
            </w:pPr>
            <w:r w:rsidRPr="00747A4F">
              <w:rPr>
                <w:sz w:val="20"/>
                <w:szCs w:val="20"/>
              </w:rPr>
              <w:t>116.534</w:t>
            </w:r>
          </w:p>
        </w:tc>
        <w:tc>
          <w:tcPr>
            <w:tcW w:w="1559" w:type="dxa"/>
            <w:tcBorders>
              <w:top w:val="single" w:sz="8" w:space="0" w:color="auto"/>
              <w:left w:val="nil"/>
              <w:bottom w:val="single" w:sz="8" w:space="0" w:color="auto"/>
              <w:right w:val="single" w:sz="8" w:space="0" w:color="auto"/>
            </w:tcBorders>
            <w:shd w:val="clear" w:color="auto" w:fill="auto"/>
            <w:noWrap/>
            <w:vAlign w:val="bottom"/>
          </w:tcPr>
          <w:p w:rsidR="00111BFC" w:rsidRPr="0033737C" w:rsidRDefault="00111BFC" w:rsidP="007B2726">
            <w:pPr>
              <w:jc w:val="center"/>
              <w:rPr>
                <w:b/>
                <w:sz w:val="18"/>
                <w:szCs w:val="18"/>
              </w:rPr>
            </w:pPr>
          </w:p>
        </w:tc>
      </w:tr>
      <w:tr w:rsidR="00111BFC" w:rsidRPr="005957A3" w:rsidTr="001973C3">
        <w:trPr>
          <w:trHeight w:val="323"/>
        </w:trPr>
        <w:tc>
          <w:tcPr>
            <w:tcW w:w="3756" w:type="dxa"/>
            <w:tcBorders>
              <w:top w:val="single" w:sz="8" w:space="0" w:color="auto"/>
              <w:left w:val="single" w:sz="8" w:space="0" w:color="auto"/>
              <w:bottom w:val="single" w:sz="8" w:space="0" w:color="auto"/>
              <w:right w:val="single" w:sz="8" w:space="0" w:color="auto"/>
            </w:tcBorders>
            <w:shd w:val="clear" w:color="auto" w:fill="auto"/>
            <w:noWrap/>
            <w:vAlign w:val="bottom"/>
          </w:tcPr>
          <w:p w:rsidR="00111BFC" w:rsidRPr="0091078F" w:rsidRDefault="00111BFC" w:rsidP="007B2726">
            <w:pPr>
              <w:rPr>
                <w:b/>
                <w:sz w:val="22"/>
                <w:szCs w:val="22"/>
              </w:rPr>
            </w:pPr>
            <w:r w:rsidRPr="0091078F">
              <w:rPr>
                <w:b/>
                <w:sz w:val="22"/>
                <w:szCs w:val="22"/>
              </w:rPr>
              <w:t>Üniversitelerarası Kurul Başkanlığı</w:t>
            </w:r>
          </w:p>
        </w:tc>
        <w:tc>
          <w:tcPr>
            <w:tcW w:w="1701" w:type="dxa"/>
            <w:tcBorders>
              <w:top w:val="single" w:sz="8" w:space="0" w:color="auto"/>
              <w:left w:val="nil"/>
              <w:bottom w:val="single" w:sz="8" w:space="0" w:color="auto"/>
              <w:right w:val="single" w:sz="8" w:space="0" w:color="auto"/>
            </w:tcBorders>
            <w:shd w:val="clear" w:color="auto" w:fill="auto"/>
            <w:noWrap/>
            <w:vAlign w:val="bottom"/>
          </w:tcPr>
          <w:p w:rsidR="00111BFC" w:rsidRPr="0091078F" w:rsidRDefault="00792506" w:rsidP="00792506">
            <w:pPr>
              <w:jc w:val="right"/>
              <w:rPr>
                <w:b/>
                <w:sz w:val="22"/>
                <w:szCs w:val="22"/>
              </w:rPr>
            </w:pPr>
            <w:r w:rsidRPr="0091078F">
              <w:rPr>
                <w:b/>
                <w:sz w:val="22"/>
                <w:szCs w:val="22"/>
              </w:rPr>
              <w:t>3.794</w:t>
            </w:r>
            <w:r w:rsidR="00111BFC" w:rsidRPr="0091078F">
              <w:rPr>
                <w:b/>
                <w:sz w:val="22"/>
                <w:szCs w:val="22"/>
              </w:rPr>
              <w:t>.000</w:t>
            </w:r>
          </w:p>
        </w:tc>
        <w:tc>
          <w:tcPr>
            <w:tcW w:w="1701" w:type="dxa"/>
            <w:tcBorders>
              <w:top w:val="single" w:sz="8" w:space="0" w:color="auto"/>
              <w:left w:val="nil"/>
              <w:bottom w:val="single" w:sz="8" w:space="0" w:color="auto"/>
              <w:right w:val="single" w:sz="8" w:space="0" w:color="auto"/>
            </w:tcBorders>
            <w:shd w:val="clear" w:color="auto" w:fill="auto"/>
            <w:noWrap/>
            <w:vAlign w:val="bottom"/>
          </w:tcPr>
          <w:p w:rsidR="00111BFC" w:rsidRPr="0091078F" w:rsidRDefault="00111BFC" w:rsidP="007B2726">
            <w:pPr>
              <w:jc w:val="right"/>
              <w:rPr>
                <w:b/>
                <w:sz w:val="22"/>
                <w:szCs w:val="22"/>
              </w:rPr>
            </w:pPr>
            <w:r w:rsidRPr="0091078F">
              <w:rPr>
                <w:b/>
                <w:sz w:val="22"/>
                <w:szCs w:val="22"/>
              </w:rPr>
              <w:t>529.020</w:t>
            </w:r>
          </w:p>
        </w:tc>
        <w:tc>
          <w:tcPr>
            <w:tcW w:w="1559" w:type="dxa"/>
            <w:tcBorders>
              <w:top w:val="single" w:sz="8" w:space="0" w:color="auto"/>
              <w:left w:val="nil"/>
              <w:bottom w:val="single" w:sz="8" w:space="0" w:color="auto"/>
              <w:right w:val="single" w:sz="8" w:space="0" w:color="auto"/>
            </w:tcBorders>
            <w:shd w:val="clear" w:color="auto" w:fill="auto"/>
            <w:noWrap/>
            <w:vAlign w:val="bottom"/>
          </w:tcPr>
          <w:p w:rsidR="00111BFC" w:rsidRPr="0091078F" w:rsidRDefault="0091078F" w:rsidP="007B2726">
            <w:pPr>
              <w:jc w:val="center"/>
              <w:rPr>
                <w:b/>
                <w:sz w:val="22"/>
                <w:szCs w:val="22"/>
              </w:rPr>
            </w:pPr>
            <w:r>
              <w:rPr>
                <w:b/>
                <w:sz w:val="22"/>
                <w:szCs w:val="22"/>
              </w:rPr>
              <w:t xml:space="preserve">      </w:t>
            </w:r>
            <w:r w:rsidR="00111BFC" w:rsidRPr="0091078F">
              <w:rPr>
                <w:b/>
                <w:sz w:val="22"/>
                <w:szCs w:val="22"/>
              </w:rPr>
              <w:t>39,89</w:t>
            </w:r>
          </w:p>
        </w:tc>
      </w:tr>
      <w:tr w:rsidR="00111BFC" w:rsidRPr="005957A3" w:rsidTr="001973C3">
        <w:trPr>
          <w:trHeight w:val="466"/>
        </w:trPr>
        <w:tc>
          <w:tcPr>
            <w:tcW w:w="3756" w:type="dxa"/>
            <w:tcBorders>
              <w:top w:val="single" w:sz="8" w:space="0" w:color="auto"/>
              <w:left w:val="single" w:sz="4" w:space="0" w:color="auto"/>
              <w:bottom w:val="single" w:sz="4" w:space="0" w:color="auto"/>
              <w:right w:val="single" w:sz="4" w:space="0" w:color="auto"/>
            </w:tcBorders>
            <w:shd w:val="clear" w:color="auto" w:fill="auto"/>
            <w:noWrap/>
            <w:vAlign w:val="bottom"/>
          </w:tcPr>
          <w:p w:rsidR="00111BFC" w:rsidRPr="0091078F" w:rsidRDefault="00111BFC" w:rsidP="007B2726">
            <w:pPr>
              <w:rPr>
                <w:b/>
                <w:sz w:val="22"/>
                <w:szCs w:val="22"/>
              </w:rPr>
            </w:pPr>
            <w:r w:rsidRPr="0091078F">
              <w:rPr>
                <w:b/>
                <w:sz w:val="22"/>
                <w:szCs w:val="22"/>
              </w:rPr>
              <w:t>GENEL TOPLAM</w:t>
            </w:r>
          </w:p>
        </w:tc>
        <w:tc>
          <w:tcPr>
            <w:tcW w:w="1701" w:type="dxa"/>
            <w:tcBorders>
              <w:top w:val="single" w:sz="8" w:space="0" w:color="auto"/>
              <w:left w:val="nil"/>
              <w:bottom w:val="single" w:sz="4" w:space="0" w:color="auto"/>
              <w:right w:val="single" w:sz="4" w:space="0" w:color="auto"/>
            </w:tcBorders>
            <w:shd w:val="clear" w:color="auto" w:fill="auto"/>
            <w:noWrap/>
            <w:vAlign w:val="bottom"/>
          </w:tcPr>
          <w:p w:rsidR="00111BFC" w:rsidRPr="0091078F" w:rsidRDefault="00111BFC" w:rsidP="00792506">
            <w:pPr>
              <w:jc w:val="right"/>
              <w:rPr>
                <w:b/>
                <w:sz w:val="22"/>
                <w:szCs w:val="22"/>
              </w:rPr>
            </w:pPr>
            <w:r w:rsidRPr="0091078F">
              <w:rPr>
                <w:b/>
                <w:sz w:val="22"/>
                <w:szCs w:val="22"/>
              </w:rPr>
              <w:t>3</w:t>
            </w:r>
            <w:r w:rsidR="00792506" w:rsidRPr="0091078F">
              <w:rPr>
                <w:b/>
                <w:sz w:val="22"/>
                <w:szCs w:val="22"/>
              </w:rPr>
              <w:t>3</w:t>
            </w:r>
            <w:r w:rsidRPr="0091078F">
              <w:rPr>
                <w:b/>
                <w:sz w:val="22"/>
                <w:szCs w:val="22"/>
              </w:rPr>
              <w:t>.</w:t>
            </w:r>
            <w:r w:rsidR="00792506" w:rsidRPr="0091078F">
              <w:rPr>
                <w:b/>
                <w:sz w:val="22"/>
                <w:szCs w:val="22"/>
              </w:rPr>
              <w:t>882</w:t>
            </w:r>
            <w:r w:rsidRPr="0091078F">
              <w:rPr>
                <w:b/>
                <w:sz w:val="22"/>
                <w:szCs w:val="22"/>
              </w:rPr>
              <w:t>.000</w:t>
            </w:r>
          </w:p>
        </w:tc>
        <w:tc>
          <w:tcPr>
            <w:tcW w:w="1701" w:type="dxa"/>
            <w:tcBorders>
              <w:top w:val="single" w:sz="8" w:space="0" w:color="auto"/>
              <w:left w:val="nil"/>
              <w:bottom w:val="single" w:sz="4" w:space="0" w:color="auto"/>
              <w:right w:val="single" w:sz="4" w:space="0" w:color="auto"/>
            </w:tcBorders>
            <w:shd w:val="clear" w:color="auto" w:fill="auto"/>
            <w:noWrap/>
            <w:vAlign w:val="bottom"/>
          </w:tcPr>
          <w:p w:rsidR="00111BFC" w:rsidRPr="00B50FB4" w:rsidRDefault="00111BFC" w:rsidP="00B50FB4">
            <w:pPr>
              <w:jc w:val="right"/>
              <w:rPr>
                <w:b/>
                <w:color w:val="000000" w:themeColor="text1"/>
                <w:sz w:val="22"/>
                <w:szCs w:val="22"/>
              </w:rPr>
            </w:pPr>
            <w:r w:rsidRPr="00B50FB4">
              <w:rPr>
                <w:b/>
                <w:color w:val="000000" w:themeColor="text1"/>
                <w:sz w:val="22"/>
                <w:szCs w:val="22"/>
              </w:rPr>
              <w:t>72.</w:t>
            </w:r>
            <w:r w:rsidR="00B50FB4" w:rsidRPr="00B50FB4">
              <w:rPr>
                <w:b/>
                <w:color w:val="000000" w:themeColor="text1"/>
                <w:sz w:val="22"/>
                <w:szCs w:val="22"/>
              </w:rPr>
              <w:t>404</w:t>
            </w:r>
            <w:r w:rsidRPr="00B50FB4">
              <w:rPr>
                <w:b/>
                <w:color w:val="000000" w:themeColor="text1"/>
                <w:sz w:val="22"/>
                <w:szCs w:val="22"/>
              </w:rPr>
              <w:t>.024</w:t>
            </w:r>
          </w:p>
        </w:tc>
        <w:tc>
          <w:tcPr>
            <w:tcW w:w="1559" w:type="dxa"/>
            <w:tcBorders>
              <w:top w:val="single" w:sz="8" w:space="0" w:color="auto"/>
              <w:left w:val="nil"/>
              <w:bottom w:val="single" w:sz="4" w:space="0" w:color="auto"/>
              <w:right w:val="single" w:sz="4" w:space="0" w:color="auto"/>
            </w:tcBorders>
            <w:shd w:val="clear" w:color="auto" w:fill="auto"/>
            <w:noWrap/>
            <w:vAlign w:val="bottom"/>
          </w:tcPr>
          <w:p w:rsidR="00111BFC" w:rsidRPr="00B50FB4" w:rsidRDefault="0091078F" w:rsidP="007B2726">
            <w:pPr>
              <w:jc w:val="center"/>
              <w:rPr>
                <w:b/>
                <w:color w:val="000000" w:themeColor="text1"/>
                <w:sz w:val="22"/>
                <w:szCs w:val="22"/>
              </w:rPr>
            </w:pPr>
            <w:r w:rsidRPr="00B50FB4">
              <w:rPr>
                <w:b/>
                <w:color w:val="000000" w:themeColor="text1"/>
                <w:sz w:val="22"/>
                <w:szCs w:val="22"/>
              </w:rPr>
              <w:t xml:space="preserve">      </w:t>
            </w:r>
            <w:r w:rsidR="00792506" w:rsidRPr="00B50FB4">
              <w:rPr>
                <w:b/>
                <w:color w:val="000000" w:themeColor="text1"/>
                <w:sz w:val="22"/>
                <w:szCs w:val="22"/>
              </w:rPr>
              <w:t>114,49</w:t>
            </w:r>
          </w:p>
        </w:tc>
      </w:tr>
    </w:tbl>
    <w:p w:rsidR="0089084D" w:rsidRPr="005957A3" w:rsidRDefault="0089084D" w:rsidP="001666E4">
      <w:pPr>
        <w:pStyle w:val="GvdeMetni"/>
        <w:jc w:val="both"/>
        <w:rPr>
          <w:b/>
          <w:bCs/>
          <w:color w:val="333399"/>
          <w:sz w:val="20"/>
        </w:rPr>
      </w:pPr>
    </w:p>
    <w:p w:rsidR="00075EE4" w:rsidRDefault="00823C01" w:rsidP="00111BFC">
      <w:pPr>
        <w:pStyle w:val="GvdeMetni"/>
        <w:spacing w:line="312" w:lineRule="auto"/>
        <w:ind w:firstLine="709"/>
        <w:jc w:val="both"/>
        <w:rPr>
          <w:sz w:val="24"/>
          <w:szCs w:val="24"/>
        </w:rPr>
      </w:pPr>
      <w:r w:rsidRPr="0091078F">
        <w:rPr>
          <w:sz w:val="24"/>
          <w:szCs w:val="24"/>
        </w:rPr>
        <w:t xml:space="preserve">Yukarıda </w:t>
      </w:r>
      <w:r w:rsidR="001666E4" w:rsidRPr="0091078F">
        <w:rPr>
          <w:sz w:val="24"/>
          <w:szCs w:val="24"/>
        </w:rPr>
        <w:t>görüldüğü gibi, 201</w:t>
      </w:r>
      <w:r w:rsidR="00C0003A" w:rsidRPr="0091078F">
        <w:rPr>
          <w:sz w:val="24"/>
          <w:szCs w:val="24"/>
        </w:rPr>
        <w:t>3</w:t>
      </w:r>
      <w:r w:rsidR="001666E4" w:rsidRPr="0091078F">
        <w:rPr>
          <w:sz w:val="24"/>
          <w:szCs w:val="24"/>
        </w:rPr>
        <w:t xml:space="preserve"> yılının ilk altı ayında gerçekleşen bütçe giderleri, kurum başlangıç ödeneğinden sapma göstermektedir. Söz </w:t>
      </w:r>
      <w:r w:rsidR="005957A3" w:rsidRPr="0091078F">
        <w:rPr>
          <w:sz w:val="24"/>
          <w:szCs w:val="24"/>
        </w:rPr>
        <w:t xml:space="preserve">konusu </w:t>
      </w:r>
      <w:r w:rsidR="00075EE4">
        <w:rPr>
          <w:sz w:val="24"/>
          <w:szCs w:val="24"/>
        </w:rPr>
        <w:t xml:space="preserve">sapmanın nedenlerine ilişkin açıklamalar </w:t>
      </w:r>
      <w:r w:rsidR="00921898" w:rsidRPr="00075EE4">
        <w:rPr>
          <w:b/>
          <w:sz w:val="24"/>
          <w:szCs w:val="24"/>
        </w:rPr>
        <w:t>EK 1</w:t>
      </w:r>
      <w:r w:rsidR="00921898">
        <w:rPr>
          <w:sz w:val="24"/>
          <w:szCs w:val="24"/>
        </w:rPr>
        <w:t xml:space="preserve">’de yer alan tablo </w:t>
      </w:r>
      <w:r w:rsidR="00075EE4">
        <w:rPr>
          <w:sz w:val="24"/>
          <w:szCs w:val="24"/>
        </w:rPr>
        <w:t xml:space="preserve">rakamları dikkate alınarak </w:t>
      </w:r>
      <w:r w:rsidR="00075EE4" w:rsidRPr="0091078F">
        <w:rPr>
          <w:sz w:val="24"/>
          <w:szCs w:val="24"/>
        </w:rPr>
        <w:t>aşağıda belirtilmiştir</w:t>
      </w:r>
      <w:r w:rsidR="00075EE4">
        <w:rPr>
          <w:sz w:val="24"/>
          <w:szCs w:val="24"/>
        </w:rPr>
        <w:t xml:space="preserve"> </w:t>
      </w:r>
    </w:p>
    <w:p w:rsidR="00075EE4" w:rsidRDefault="00075EE4" w:rsidP="00111BFC">
      <w:pPr>
        <w:pStyle w:val="GvdeMetni"/>
        <w:spacing w:line="312" w:lineRule="auto"/>
        <w:ind w:firstLine="709"/>
        <w:jc w:val="both"/>
        <w:rPr>
          <w:sz w:val="24"/>
          <w:szCs w:val="24"/>
        </w:rPr>
      </w:pPr>
    </w:p>
    <w:p w:rsidR="00075EE4" w:rsidRDefault="00075EE4" w:rsidP="00111BFC">
      <w:pPr>
        <w:pStyle w:val="GvdeMetni"/>
        <w:spacing w:line="312" w:lineRule="auto"/>
        <w:ind w:firstLine="709"/>
        <w:jc w:val="both"/>
        <w:rPr>
          <w:sz w:val="24"/>
          <w:szCs w:val="24"/>
        </w:rPr>
      </w:pPr>
      <w:r>
        <w:rPr>
          <w:sz w:val="24"/>
          <w:szCs w:val="24"/>
        </w:rPr>
        <w:t>Giderin kalemlerinin ekonomik sınıflandırma kodlarına göre;</w:t>
      </w:r>
    </w:p>
    <w:p w:rsidR="00075EE4" w:rsidRDefault="00075EE4" w:rsidP="00111BFC">
      <w:pPr>
        <w:pStyle w:val="GvdeMetni"/>
        <w:spacing w:line="312" w:lineRule="auto"/>
        <w:ind w:firstLine="709"/>
        <w:jc w:val="both"/>
        <w:rPr>
          <w:sz w:val="24"/>
          <w:szCs w:val="24"/>
        </w:rPr>
      </w:pPr>
    </w:p>
    <w:p w:rsidR="00111BFC" w:rsidRPr="0091078F" w:rsidRDefault="00111BFC" w:rsidP="00111BFC">
      <w:pPr>
        <w:pStyle w:val="GvdeMetni"/>
        <w:spacing w:line="312" w:lineRule="auto"/>
        <w:ind w:firstLine="709"/>
        <w:jc w:val="both"/>
        <w:rPr>
          <w:sz w:val="24"/>
          <w:szCs w:val="24"/>
        </w:rPr>
      </w:pPr>
      <w:r w:rsidRPr="0091078F">
        <w:rPr>
          <w:sz w:val="24"/>
          <w:szCs w:val="24"/>
        </w:rPr>
        <w:t xml:space="preserve">03.4 Görev Giderleri kalemindeki 136.000.-TL sapmanın sebebi, kanunen yapılması zorunlu olan Mahkeme harçlarıdır. </w:t>
      </w:r>
    </w:p>
    <w:p w:rsidR="00792506" w:rsidRPr="0091078F" w:rsidRDefault="00792506" w:rsidP="00111BFC">
      <w:pPr>
        <w:pStyle w:val="GvdeMetni"/>
        <w:spacing w:line="312" w:lineRule="auto"/>
        <w:ind w:firstLine="709"/>
        <w:jc w:val="both"/>
        <w:rPr>
          <w:sz w:val="24"/>
          <w:szCs w:val="24"/>
        </w:rPr>
      </w:pPr>
    </w:p>
    <w:p w:rsidR="00111BFC" w:rsidRPr="0091078F" w:rsidRDefault="00111BFC" w:rsidP="00C0003A">
      <w:pPr>
        <w:pStyle w:val="GvdeMetni"/>
        <w:spacing w:line="312" w:lineRule="auto"/>
        <w:ind w:firstLine="709"/>
        <w:jc w:val="both"/>
        <w:rPr>
          <w:sz w:val="24"/>
          <w:szCs w:val="24"/>
        </w:rPr>
      </w:pPr>
      <w:r w:rsidRPr="0091078F">
        <w:rPr>
          <w:sz w:val="24"/>
          <w:szCs w:val="24"/>
        </w:rPr>
        <w:t xml:space="preserve">03.5 Hizmet Alımları kaleminde 1.488.662.- TL sapma görülmektedir. Söz konusu giderin 1.216.074.-TL’lik kısmı Maliye Bakanlığı’nın </w:t>
      </w:r>
      <w:proofErr w:type="gramStart"/>
      <w:r w:rsidRPr="0091078F">
        <w:rPr>
          <w:sz w:val="24"/>
          <w:szCs w:val="24"/>
        </w:rPr>
        <w:t>21/12/2011</w:t>
      </w:r>
      <w:proofErr w:type="gramEnd"/>
      <w:r w:rsidRPr="0091078F">
        <w:rPr>
          <w:sz w:val="24"/>
          <w:szCs w:val="24"/>
        </w:rPr>
        <w:t xml:space="preserve"> tarih ve 18009 sayılı izni ile personel servisi kiralama hizmeti alımları için ödenek eklenerek harcanmıştır. Geri kalan 272.588.- TL ise diğer hizmet alımları (Temizlik Hizmet Alımı, Taşıt Kiralama vb.) için harcanmıştır ve 6363 Sayılı Bütçe Kanunu madde 6/6’ya dayanılarak, önceki yıldan devreden finansman fazlasından ekleme yapılarak karşılanmıştır</w:t>
      </w:r>
    </w:p>
    <w:p w:rsidR="00111BFC" w:rsidRPr="0091078F" w:rsidRDefault="00111BFC" w:rsidP="00111BFC">
      <w:pPr>
        <w:pStyle w:val="GvdeMetni"/>
        <w:ind w:firstLine="360"/>
        <w:jc w:val="both"/>
        <w:rPr>
          <w:sz w:val="24"/>
          <w:szCs w:val="24"/>
        </w:rPr>
      </w:pPr>
    </w:p>
    <w:p w:rsidR="00111BFC" w:rsidRPr="0091078F" w:rsidRDefault="00111BFC" w:rsidP="00C0003A">
      <w:pPr>
        <w:pStyle w:val="GvdeMetni"/>
        <w:spacing w:line="312" w:lineRule="auto"/>
        <w:ind w:firstLine="709"/>
        <w:jc w:val="both"/>
        <w:rPr>
          <w:sz w:val="24"/>
          <w:szCs w:val="24"/>
        </w:rPr>
      </w:pPr>
      <w:r w:rsidRPr="0091078F">
        <w:rPr>
          <w:sz w:val="24"/>
          <w:szCs w:val="24"/>
        </w:rPr>
        <w:t>05.3 Kar Amacı Gütmeyen Kuruluşlara Yapılan Transferler kalemindeki 37.164.645.-TL sapmanın sebebi ise kurulumuz tarafından yürütülen “</w:t>
      </w:r>
      <w:proofErr w:type="spellStart"/>
      <w:r w:rsidRPr="0091078F">
        <w:rPr>
          <w:sz w:val="24"/>
          <w:szCs w:val="24"/>
        </w:rPr>
        <w:t>Farabi</w:t>
      </w:r>
      <w:proofErr w:type="spellEnd"/>
      <w:r w:rsidRPr="0091078F">
        <w:rPr>
          <w:sz w:val="24"/>
          <w:szCs w:val="24"/>
        </w:rPr>
        <w:t xml:space="preserve"> Değişim Programı” ve “Öğretim Üyesi Yetiştirme Programı” için yapılan transferlerdir. </w:t>
      </w:r>
    </w:p>
    <w:p w:rsidR="00111BFC" w:rsidRPr="0091078F" w:rsidRDefault="00111BFC" w:rsidP="00111BFC">
      <w:pPr>
        <w:pStyle w:val="GvdeMetni"/>
        <w:ind w:firstLine="360"/>
        <w:jc w:val="both"/>
        <w:rPr>
          <w:sz w:val="24"/>
          <w:szCs w:val="24"/>
        </w:rPr>
      </w:pPr>
    </w:p>
    <w:p w:rsidR="00840057" w:rsidRDefault="00111BFC" w:rsidP="00C0003A">
      <w:pPr>
        <w:pStyle w:val="GvdeMetni"/>
        <w:spacing w:line="312" w:lineRule="auto"/>
        <w:ind w:firstLine="709"/>
        <w:jc w:val="both"/>
        <w:rPr>
          <w:sz w:val="24"/>
          <w:szCs w:val="24"/>
        </w:rPr>
      </w:pPr>
      <w:r w:rsidRPr="0091078F">
        <w:rPr>
          <w:sz w:val="24"/>
          <w:szCs w:val="24"/>
        </w:rPr>
        <w:t xml:space="preserve">05.4 Hane Halkına Yapılan Transferler kalemindeki 17.850.735.-TL sapmanın sebebi 2547 sayılı Yükseköğretim Kanunu’nun 39 uncu maddesi uyarınca; yurtdışında alanında </w:t>
      </w:r>
    </w:p>
    <w:p w:rsidR="00840057" w:rsidRDefault="00840057" w:rsidP="00840057">
      <w:pPr>
        <w:pStyle w:val="GvdeMetni"/>
        <w:spacing w:line="312" w:lineRule="auto"/>
        <w:jc w:val="both"/>
        <w:rPr>
          <w:sz w:val="24"/>
          <w:szCs w:val="24"/>
        </w:rPr>
      </w:pPr>
    </w:p>
    <w:p w:rsidR="00111BFC" w:rsidRPr="0091078F" w:rsidRDefault="00111BFC" w:rsidP="00840057">
      <w:pPr>
        <w:pStyle w:val="GvdeMetni"/>
        <w:spacing w:line="312" w:lineRule="auto"/>
        <w:jc w:val="both"/>
        <w:rPr>
          <w:sz w:val="24"/>
          <w:szCs w:val="24"/>
        </w:rPr>
      </w:pPr>
      <w:proofErr w:type="gramStart"/>
      <w:r w:rsidRPr="0091078F">
        <w:rPr>
          <w:sz w:val="24"/>
          <w:szCs w:val="24"/>
        </w:rPr>
        <w:t>inceleme</w:t>
      </w:r>
      <w:proofErr w:type="gramEnd"/>
      <w:r w:rsidRPr="0091078F">
        <w:rPr>
          <w:sz w:val="24"/>
          <w:szCs w:val="24"/>
        </w:rPr>
        <w:t xml:space="preserve"> ve araştırma yapmak üzere Başkanlığımız tarafından sağlanan Yüksek Lisans Araştırma Desteği, Doktora Araştırma Desteği, Doktora Sonrası Araştırma Desteği’nden yararlanan öğretim üyeleri için Üniversitelerimize aktarılan kaynak tutarıdır. </w:t>
      </w:r>
      <w:proofErr w:type="gramStart"/>
      <w:r w:rsidRPr="0091078F">
        <w:rPr>
          <w:sz w:val="24"/>
          <w:szCs w:val="24"/>
        </w:rPr>
        <w:t>Söz konusu kaynak aktarımı, 2547 sayılı Yükseköğretim Kanunu’nun 7.maddesinin (a) bendinde; Yükseköğretim kurumlarının bu Kanunda belirlenen amaç, hedef ve ilkeler doğrultusunda kurulması, geliştirilmesi, eğitim - öğretim faaliyetlerinin gerçekleştirilmesi ve yükseköğretim alanlarının ihtiyaç duyduğu öğretim elemanlarının yurt içinde ve yurt dışında yetiştirilmesi için kısa ve uzun vadeli planlar hazırlamak, üniversitelere tahsis edilen kaynakların, bu plan ve programlar çerçevesinde etkili bir biçimde kullanılmasını gözetim ve denetim altında bulundurmaktır” hükmü gereğince yapılmaktadır.</w:t>
      </w:r>
      <w:proofErr w:type="gramEnd"/>
    </w:p>
    <w:p w:rsidR="00111BFC" w:rsidRPr="008D392F" w:rsidRDefault="00111BFC" w:rsidP="00111BFC"/>
    <w:p w:rsidR="0089084D" w:rsidRPr="0091078F" w:rsidRDefault="00D379CD" w:rsidP="00D379CD">
      <w:pPr>
        <w:pStyle w:val="GvdeMetni"/>
        <w:spacing w:before="120" w:after="120" w:line="312" w:lineRule="auto"/>
        <w:ind w:right="-288" w:firstLine="708"/>
        <w:jc w:val="both"/>
        <w:rPr>
          <w:b/>
          <w:sz w:val="24"/>
          <w:szCs w:val="24"/>
        </w:rPr>
      </w:pPr>
      <w:r w:rsidRPr="0091078F">
        <w:rPr>
          <w:b/>
          <w:sz w:val="24"/>
          <w:szCs w:val="24"/>
        </w:rPr>
        <w:t xml:space="preserve">B. </w:t>
      </w:r>
      <w:r w:rsidR="0089084D" w:rsidRPr="0091078F">
        <w:rPr>
          <w:b/>
          <w:sz w:val="24"/>
          <w:szCs w:val="24"/>
        </w:rPr>
        <w:t>Bütçe Gelirleri</w:t>
      </w:r>
    </w:p>
    <w:p w:rsidR="0033737C" w:rsidRPr="0091078F" w:rsidRDefault="004C44FF" w:rsidP="0033737C">
      <w:pPr>
        <w:pStyle w:val="GvdeMetni"/>
        <w:spacing w:before="120" w:after="120" w:line="312" w:lineRule="auto"/>
        <w:ind w:right="-2" w:firstLine="708"/>
        <w:jc w:val="both"/>
        <w:rPr>
          <w:b/>
          <w:sz w:val="24"/>
          <w:szCs w:val="24"/>
        </w:rPr>
      </w:pPr>
      <w:r w:rsidRPr="0091078F">
        <w:rPr>
          <w:sz w:val="24"/>
          <w:szCs w:val="24"/>
        </w:rPr>
        <w:t>201</w:t>
      </w:r>
      <w:r w:rsidR="00080900" w:rsidRPr="0091078F">
        <w:rPr>
          <w:sz w:val="24"/>
          <w:szCs w:val="24"/>
        </w:rPr>
        <w:t>3</w:t>
      </w:r>
      <w:r w:rsidR="0089084D" w:rsidRPr="0091078F">
        <w:rPr>
          <w:sz w:val="24"/>
          <w:szCs w:val="24"/>
        </w:rPr>
        <w:t xml:space="preserve"> Mali yılı Ocak-Haziran dönemi itibariyle bütçe g</w:t>
      </w:r>
      <w:r w:rsidRPr="0091078F">
        <w:rPr>
          <w:sz w:val="24"/>
          <w:szCs w:val="24"/>
        </w:rPr>
        <w:t xml:space="preserve">elirleri toplam </w:t>
      </w:r>
      <w:r w:rsidR="00693AE7" w:rsidRPr="0091078F">
        <w:rPr>
          <w:sz w:val="24"/>
          <w:szCs w:val="24"/>
        </w:rPr>
        <w:t>2</w:t>
      </w:r>
      <w:r w:rsidR="00080900" w:rsidRPr="0091078F">
        <w:rPr>
          <w:sz w:val="24"/>
          <w:szCs w:val="24"/>
        </w:rPr>
        <w:t>8.981.238</w:t>
      </w:r>
      <w:r w:rsidRPr="0091078F">
        <w:rPr>
          <w:sz w:val="24"/>
          <w:szCs w:val="24"/>
        </w:rPr>
        <w:t xml:space="preserve">.-TL </w:t>
      </w:r>
      <w:r w:rsidR="0089084D" w:rsidRPr="0091078F">
        <w:rPr>
          <w:sz w:val="24"/>
          <w:szCs w:val="24"/>
        </w:rPr>
        <w:t xml:space="preserve">olarak gerçekleşmiş olup, </w:t>
      </w:r>
      <w:r w:rsidR="00BA4955" w:rsidRPr="0091078F">
        <w:rPr>
          <w:sz w:val="24"/>
          <w:szCs w:val="24"/>
        </w:rPr>
        <w:t>a</w:t>
      </w:r>
      <w:r w:rsidR="0089084D" w:rsidRPr="0091078F">
        <w:rPr>
          <w:sz w:val="24"/>
          <w:szCs w:val="24"/>
        </w:rPr>
        <w:t>ynı döneme ait ekonomik sınıflandırmanın bir</w:t>
      </w:r>
      <w:r w:rsidR="00210805" w:rsidRPr="0091078F">
        <w:rPr>
          <w:sz w:val="24"/>
          <w:szCs w:val="24"/>
        </w:rPr>
        <w:t>inci düzeyinde yer alan gelir g</w:t>
      </w:r>
      <w:r w:rsidR="0089084D" w:rsidRPr="0091078F">
        <w:rPr>
          <w:sz w:val="24"/>
          <w:szCs w:val="24"/>
        </w:rPr>
        <w:t xml:space="preserve">rupları itibariyle </w:t>
      </w:r>
      <w:r w:rsidR="00B1279F" w:rsidRPr="0091078F">
        <w:rPr>
          <w:sz w:val="24"/>
          <w:szCs w:val="24"/>
        </w:rPr>
        <w:t xml:space="preserve">bütçeye yansıyan </w:t>
      </w:r>
      <w:r w:rsidR="0089084D" w:rsidRPr="0091078F">
        <w:rPr>
          <w:sz w:val="24"/>
          <w:szCs w:val="24"/>
        </w:rPr>
        <w:t>gerçekleşme rakamları ve gelirlerin g</w:t>
      </w:r>
      <w:r w:rsidR="005D47DD" w:rsidRPr="0091078F">
        <w:rPr>
          <w:sz w:val="24"/>
          <w:szCs w:val="24"/>
        </w:rPr>
        <w:t xml:space="preserve">elişimine ait tablo raporun </w:t>
      </w:r>
      <w:r w:rsidR="0089084D" w:rsidRPr="0091078F">
        <w:rPr>
          <w:sz w:val="24"/>
          <w:szCs w:val="24"/>
        </w:rPr>
        <w:t>ekinde yer almaktadır.</w:t>
      </w:r>
      <w:r w:rsidR="005D47DD" w:rsidRPr="0091078F">
        <w:rPr>
          <w:sz w:val="24"/>
          <w:szCs w:val="24"/>
        </w:rPr>
        <w:t xml:space="preserve"> </w:t>
      </w:r>
      <w:r w:rsidR="005D47DD" w:rsidRPr="0091078F">
        <w:rPr>
          <w:b/>
          <w:sz w:val="24"/>
          <w:szCs w:val="24"/>
        </w:rPr>
        <w:t>(EK: 2)</w:t>
      </w:r>
    </w:p>
    <w:p w:rsidR="00D23052" w:rsidRPr="0091078F" w:rsidRDefault="00D23052" w:rsidP="00747A4F">
      <w:pPr>
        <w:pStyle w:val="GvdeMetni"/>
        <w:spacing w:before="120" w:after="120" w:line="312" w:lineRule="auto"/>
        <w:ind w:right="-2" w:firstLine="708"/>
        <w:jc w:val="both"/>
        <w:rPr>
          <w:sz w:val="24"/>
          <w:szCs w:val="24"/>
        </w:rPr>
      </w:pPr>
      <w:r w:rsidRPr="0091078F">
        <w:rPr>
          <w:sz w:val="24"/>
          <w:szCs w:val="24"/>
        </w:rPr>
        <w:t>2013 yılı içerisinde Merkezi Bütçe Kanunu ile Başkanlığımıza 22.741.594.- ödenek tahsis edilmiş olup 6.215.201.- TL faiz geliri elde edilmiştir. 24.442.- TL diğer gelirlerle birlikte Haziran</w:t>
      </w:r>
      <w:r w:rsidR="00747A4F" w:rsidRPr="0091078F">
        <w:rPr>
          <w:sz w:val="24"/>
          <w:szCs w:val="24"/>
        </w:rPr>
        <w:t xml:space="preserve"> 2013</w:t>
      </w:r>
      <w:r w:rsidRPr="0091078F">
        <w:rPr>
          <w:sz w:val="24"/>
          <w:szCs w:val="24"/>
        </w:rPr>
        <w:t xml:space="preserve"> sonu itibari ile toplam</w:t>
      </w:r>
      <w:r w:rsidR="00747A4F" w:rsidRPr="0091078F">
        <w:rPr>
          <w:sz w:val="24"/>
          <w:szCs w:val="24"/>
        </w:rPr>
        <w:t xml:space="preserve"> 28.981.238.-TL </w:t>
      </w:r>
      <w:r w:rsidRPr="0091078F">
        <w:rPr>
          <w:sz w:val="24"/>
          <w:szCs w:val="24"/>
        </w:rPr>
        <w:t xml:space="preserve">gelir </w:t>
      </w:r>
      <w:r w:rsidR="00747A4F" w:rsidRPr="0091078F">
        <w:rPr>
          <w:sz w:val="24"/>
          <w:szCs w:val="24"/>
        </w:rPr>
        <w:t>elde edilmiştir.</w:t>
      </w:r>
    </w:p>
    <w:p w:rsidR="00572627" w:rsidRDefault="00572627" w:rsidP="00B72B0D">
      <w:pPr>
        <w:pStyle w:val="GvdeMetni"/>
        <w:spacing w:before="120" w:after="120" w:line="312" w:lineRule="auto"/>
        <w:ind w:right="-288" w:firstLine="708"/>
        <w:jc w:val="both"/>
        <w:rPr>
          <w:b/>
          <w:sz w:val="24"/>
          <w:szCs w:val="24"/>
        </w:rPr>
      </w:pPr>
    </w:p>
    <w:p w:rsidR="00B72B0D" w:rsidRPr="0091078F" w:rsidRDefault="00B72B0D" w:rsidP="00B72B0D">
      <w:pPr>
        <w:pStyle w:val="GvdeMetni"/>
        <w:spacing w:before="120" w:after="120" w:line="312" w:lineRule="auto"/>
        <w:ind w:right="-288" w:firstLine="708"/>
        <w:jc w:val="both"/>
        <w:rPr>
          <w:b/>
          <w:sz w:val="24"/>
          <w:szCs w:val="24"/>
        </w:rPr>
      </w:pPr>
      <w:r>
        <w:rPr>
          <w:b/>
          <w:sz w:val="24"/>
          <w:szCs w:val="24"/>
        </w:rPr>
        <w:t>C</w:t>
      </w:r>
      <w:r w:rsidRPr="0091078F">
        <w:rPr>
          <w:b/>
          <w:sz w:val="24"/>
          <w:szCs w:val="24"/>
        </w:rPr>
        <w:t xml:space="preserve">. </w:t>
      </w:r>
      <w:r>
        <w:rPr>
          <w:b/>
          <w:sz w:val="24"/>
          <w:szCs w:val="24"/>
        </w:rPr>
        <w:t>Finansman</w:t>
      </w:r>
    </w:p>
    <w:p w:rsidR="00080900" w:rsidRDefault="00080900" w:rsidP="00747A4F">
      <w:pPr>
        <w:pStyle w:val="GvdeMetni"/>
        <w:spacing w:before="120" w:after="120" w:line="312" w:lineRule="auto"/>
        <w:ind w:right="-2" w:firstLine="708"/>
        <w:jc w:val="both"/>
        <w:rPr>
          <w:sz w:val="24"/>
          <w:szCs w:val="24"/>
        </w:rPr>
      </w:pPr>
      <w:r w:rsidRPr="0091078F">
        <w:rPr>
          <w:sz w:val="24"/>
          <w:szCs w:val="24"/>
        </w:rPr>
        <w:t>Başkanlığımız görev alanına giren yukarıdaki transfer ödemelerimiz devam edecek olmakla birlikte, “</w:t>
      </w:r>
      <w:proofErr w:type="gramStart"/>
      <w:r w:rsidRPr="0091078F">
        <w:rPr>
          <w:sz w:val="24"/>
          <w:szCs w:val="24"/>
        </w:rPr>
        <w:t>03/03/2011</w:t>
      </w:r>
      <w:proofErr w:type="gramEnd"/>
      <w:r w:rsidRPr="0091078F">
        <w:rPr>
          <w:sz w:val="24"/>
          <w:szCs w:val="24"/>
        </w:rPr>
        <w:t xml:space="preserve"> tarih ve 27863 sayılı Resmi Gazetede yayımlanan 6114 sayılı Kanun ile “Öğrenci Seçme ve Yerleştirme Merkezi Başkanlığının bir önceki yıldan devreden finansman fazlasının” ibaresinin “Ölçme, Seçme ve Yerleştirme Merkezi Başkanlığının bir önceki yıla ait bütçe geliri ile bütçe gideri farkının” olarak değiştirildiği ve ÖSYM’nin 2011 ve 2012 yılı bütçe giderlerinin, gelirlerinden fazla olması sebebiyle, 2012 ve 2013 yıllarında Başkanlığımız hesaplarına herhangi bir kaynak aktarımı yapılmamıştır. </w:t>
      </w:r>
    </w:p>
    <w:p w:rsidR="00FE7C01" w:rsidRPr="0033737C" w:rsidRDefault="00FE7C01" w:rsidP="0033737C">
      <w:pPr>
        <w:pStyle w:val="GvdeMetni"/>
        <w:spacing w:before="120" w:after="120" w:line="312" w:lineRule="auto"/>
        <w:ind w:right="-2" w:firstLine="708"/>
        <w:jc w:val="both"/>
        <w:rPr>
          <w:sz w:val="22"/>
          <w:szCs w:val="22"/>
        </w:rPr>
      </w:pPr>
    </w:p>
    <w:p w:rsidR="00E67545" w:rsidRPr="0091078F" w:rsidRDefault="0088762B" w:rsidP="00D379CD">
      <w:pPr>
        <w:pStyle w:val="GvdeMetni"/>
        <w:spacing w:before="120" w:after="120" w:line="312" w:lineRule="auto"/>
        <w:ind w:right="-2" w:firstLine="708"/>
        <w:jc w:val="both"/>
        <w:rPr>
          <w:b/>
          <w:sz w:val="24"/>
          <w:szCs w:val="24"/>
        </w:rPr>
      </w:pPr>
      <w:r w:rsidRPr="0091078F">
        <w:rPr>
          <w:b/>
          <w:sz w:val="24"/>
          <w:szCs w:val="24"/>
        </w:rPr>
        <w:t>II- OCAK-HAZİ</w:t>
      </w:r>
      <w:r w:rsidR="00E67545" w:rsidRPr="0091078F">
        <w:rPr>
          <w:b/>
          <w:sz w:val="24"/>
          <w:szCs w:val="24"/>
        </w:rPr>
        <w:t xml:space="preserve">RAN </w:t>
      </w:r>
      <w:r w:rsidR="00AA335D" w:rsidRPr="0091078F">
        <w:rPr>
          <w:b/>
          <w:sz w:val="24"/>
          <w:szCs w:val="24"/>
        </w:rPr>
        <w:t>20</w:t>
      </w:r>
      <w:r w:rsidR="00210805" w:rsidRPr="0091078F">
        <w:rPr>
          <w:b/>
          <w:sz w:val="24"/>
          <w:szCs w:val="24"/>
        </w:rPr>
        <w:t>1</w:t>
      </w:r>
      <w:r w:rsidR="0091078F" w:rsidRPr="0091078F">
        <w:rPr>
          <w:b/>
          <w:sz w:val="24"/>
          <w:szCs w:val="24"/>
        </w:rPr>
        <w:t>3</w:t>
      </w:r>
      <w:r w:rsidR="00AA335D" w:rsidRPr="0091078F">
        <w:rPr>
          <w:b/>
          <w:sz w:val="24"/>
          <w:szCs w:val="24"/>
        </w:rPr>
        <w:t xml:space="preserve"> </w:t>
      </w:r>
      <w:r w:rsidRPr="0091078F">
        <w:rPr>
          <w:b/>
          <w:sz w:val="24"/>
          <w:szCs w:val="24"/>
        </w:rPr>
        <w:t>DÖNEMİNDE YÜRÜ</w:t>
      </w:r>
      <w:r w:rsidR="00E67545" w:rsidRPr="0091078F">
        <w:rPr>
          <w:b/>
          <w:sz w:val="24"/>
          <w:szCs w:val="24"/>
        </w:rPr>
        <w:t>TÜLEN FAALİYETLER</w:t>
      </w:r>
    </w:p>
    <w:p w:rsidR="00572627" w:rsidRDefault="00572627" w:rsidP="00D379CD">
      <w:pPr>
        <w:pStyle w:val="GvdeMetni"/>
        <w:spacing w:before="120" w:after="120" w:line="312" w:lineRule="auto"/>
        <w:ind w:right="-2" w:firstLine="708"/>
        <w:jc w:val="both"/>
        <w:rPr>
          <w:sz w:val="24"/>
          <w:szCs w:val="24"/>
        </w:rPr>
      </w:pPr>
    </w:p>
    <w:p w:rsidR="00853CCC" w:rsidRPr="0091078F" w:rsidRDefault="00853CCC" w:rsidP="00D379CD">
      <w:pPr>
        <w:pStyle w:val="GvdeMetni"/>
        <w:spacing w:before="120" w:after="120" w:line="312" w:lineRule="auto"/>
        <w:ind w:right="-2" w:firstLine="708"/>
        <w:jc w:val="both"/>
        <w:rPr>
          <w:sz w:val="24"/>
          <w:szCs w:val="24"/>
        </w:rPr>
      </w:pPr>
      <w:r w:rsidRPr="0091078F">
        <w:rPr>
          <w:sz w:val="24"/>
          <w:szCs w:val="24"/>
        </w:rPr>
        <w:t xml:space="preserve">Yükseköğretim Kurulu, 2547 sayılı Kanunda belirlenen amaç, hedef ve ilkeler doğrultusunda yükseköğretim kurumlarının kurulması, geliştirilmesi, eğitim-öğretim faaliyetlerinin gerçekleştirilmesi, yükseköğretim alanlarının ihtiyaç duyduğu öğretim elemanlarının yurt içinde ve yurt dışında yetiştirilmesi için </w:t>
      </w:r>
      <w:r w:rsidR="008C7536" w:rsidRPr="0091078F">
        <w:rPr>
          <w:sz w:val="24"/>
          <w:szCs w:val="24"/>
        </w:rPr>
        <w:t>kurumsal anlamda yürütülen faaliyetlere bu dönem içerisinde de devam edilmiştir.</w:t>
      </w:r>
    </w:p>
    <w:p w:rsidR="00677251" w:rsidRDefault="00677251" w:rsidP="00D379CD">
      <w:pPr>
        <w:pStyle w:val="GvdeMetni"/>
        <w:spacing w:before="120" w:after="120" w:line="312" w:lineRule="auto"/>
        <w:ind w:right="-2" w:firstLine="708"/>
        <w:jc w:val="both"/>
        <w:rPr>
          <w:sz w:val="22"/>
          <w:szCs w:val="22"/>
        </w:rPr>
      </w:pPr>
    </w:p>
    <w:p w:rsidR="00572627" w:rsidRDefault="00572627" w:rsidP="00D379CD">
      <w:pPr>
        <w:pStyle w:val="GvdeMetni"/>
        <w:spacing w:before="120" w:after="120" w:line="312" w:lineRule="auto"/>
        <w:ind w:right="-2" w:firstLine="708"/>
        <w:jc w:val="both"/>
        <w:rPr>
          <w:sz w:val="22"/>
          <w:szCs w:val="22"/>
        </w:rPr>
      </w:pPr>
    </w:p>
    <w:p w:rsidR="00840057" w:rsidRDefault="00840057" w:rsidP="00D379CD">
      <w:pPr>
        <w:pStyle w:val="GvdeMetni"/>
        <w:spacing w:before="120" w:after="120" w:line="312" w:lineRule="auto"/>
        <w:ind w:right="-2" w:firstLine="708"/>
        <w:jc w:val="both"/>
        <w:rPr>
          <w:sz w:val="22"/>
          <w:szCs w:val="22"/>
        </w:rPr>
      </w:pPr>
    </w:p>
    <w:p w:rsidR="00572627" w:rsidRDefault="00572627" w:rsidP="00572627">
      <w:pPr>
        <w:pStyle w:val="GvdeMetni"/>
        <w:spacing w:before="120" w:after="120" w:line="312" w:lineRule="auto"/>
        <w:ind w:left="1134" w:right="-2"/>
        <w:jc w:val="both"/>
        <w:rPr>
          <w:b/>
          <w:sz w:val="24"/>
          <w:szCs w:val="24"/>
        </w:rPr>
      </w:pPr>
    </w:p>
    <w:p w:rsidR="00572627" w:rsidRDefault="00572627" w:rsidP="00572627">
      <w:pPr>
        <w:pStyle w:val="GvdeMetni"/>
        <w:spacing w:before="120" w:after="120" w:line="312" w:lineRule="auto"/>
        <w:ind w:left="1134" w:right="-2"/>
        <w:jc w:val="both"/>
        <w:rPr>
          <w:b/>
          <w:sz w:val="24"/>
          <w:szCs w:val="24"/>
        </w:rPr>
      </w:pPr>
    </w:p>
    <w:p w:rsidR="00E67545" w:rsidRDefault="00E67545" w:rsidP="00D379CD">
      <w:pPr>
        <w:pStyle w:val="GvdeMetni"/>
        <w:numPr>
          <w:ilvl w:val="0"/>
          <w:numId w:val="4"/>
        </w:numPr>
        <w:spacing w:before="120" w:after="120" w:line="312" w:lineRule="auto"/>
        <w:ind w:left="1134" w:right="-2" w:hanging="425"/>
        <w:jc w:val="both"/>
        <w:rPr>
          <w:b/>
          <w:sz w:val="24"/>
          <w:szCs w:val="24"/>
        </w:rPr>
      </w:pPr>
      <w:r w:rsidRPr="0091078F">
        <w:rPr>
          <w:b/>
          <w:sz w:val="24"/>
          <w:szCs w:val="24"/>
        </w:rPr>
        <w:t>TEMMUZ-ARALIK 20</w:t>
      </w:r>
      <w:r w:rsidR="00210805" w:rsidRPr="0091078F">
        <w:rPr>
          <w:b/>
          <w:sz w:val="24"/>
          <w:szCs w:val="24"/>
        </w:rPr>
        <w:t>1</w:t>
      </w:r>
      <w:r w:rsidR="0091078F" w:rsidRPr="0091078F">
        <w:rPr>
          <w:b/>
          <w:sz w:val="24"/>
          <w:szCs w:val="24"/>
        </w:rPr>
        <w:t>3</w:t>
      </w:r>
      <w:r w:rsidRPr="0091078F">
        <w:rPr>
          <w:b/>
          <w:sz w:val="24"/>
          <w:szCs w:val="24"/>
        </w:rPr>
        <w:t xml:space="preserve"> DÖNEMİNE İLİŞKİN</w:t>
      </w:r>
      <w:r w:rsidR="00562D90" w:rsidRPr="0091078F">
        <w:rPr>
          <w:b/>
          <w:sz w:val="24"/>
          <w:szCs w:val="24"/>
        </w:rPr>
        <w:t xml:space="preserve"> </w:t>
      </w:r>
      <w:r w:rsidRPr="0091078F">
        <w:rPr>
          <w:b/>
          <w:sz w:val="24"/>
          <w:szCs w:val="24"/>
        </w:rPr>
        <w:t>BEKLENT</w:t>
      </w:r>
      <w:r w:rsidR="00A80767" w:rsidRPr="0091078F">
        <w:rPr>
          <w:b/>
          <w:sz w:val="24"/>
          <w:szCs w:val="24"/>
        </w:rPr>
        <w:t>İLER VE</w:t>
      </w:r>
      <w:r w:rsidR="00210805" w:rsidRPr="0091078F">
        <w:rPr>
          <w:b/>
          <w:sz w:val="24"/>
          <w:szCs w:val="24"/>
        </w:rPr>
        <w:t xml:space="preserve"> </w:t>
      </w:r>
      <w:r w:rsidRPr="0091078F">
        <w:rPr>
          <w:b/>
          <w:sz w:val="24"/>
          <w:szCs w:val="24"/>
        </w:rPr>
        <w:t>HEDEFLER</w:t>
      </w:r>
    </w:p>
    <w:p w:rsidR="00572627" w:rsidRPr="0091078F" w:rsidRDefault="00572627" w:rsidP="00572627">
      <w:pPr>
        <w:pStyle w:val="GvdeMetni"/>
        <w:spacing w:before="120" w:after="120" w:line="312" w:lineRule="auto"/>
        <w:ind w:left="1134" w:right="-2"/>
        <w:jc w:val="both"/>
        <w:rPr>
          <w:b/>
          <w:sz w:val="24"/>
          <w:szCs w:val="24"/>
        </w:rPr>
      </w:pPr>
    </w:p>
    <w:p w:rsidR="00D379CD" w:rsidRPr="00572627" w:rsidRDefault="00572627" w:rsidP="00572627">
      <w:pPr>
        <w:pStyle w:val="GvdeMetni"/>
        <w:spacing w:before="120" w:after="120" w:line="312" w:lineRule="auto"/>
        <w:ind w:left="708" w:right="-2"/>
        <w:jc w:val="both"/>
        <w:rPr>
          <w:b/>
          <w:sz w:val="24"/>
          <w:szCs w:val="24"/>
        </w:rPr>
      </w:pPr>
      <w:r w:rsidRPr="00572627">
        <w:rPr>
          <w:b/>
          <w:sz w:val="24"/>
          <w:szCs w:val="24"/>
        </w:rPr>
        <w:t>A. Bütçe Giderleri</w:t>
      </w:r>
    </w:p>
    <w:p w:rsidR="00FE7C01" w:rsidRPr="0091078F" w:rsidRDefault="00210805" w:rsidP="000172C6">
      <w:pPr>
        <w:pStyle w:val="GvdeMetni"/>
        <w:spacing w:before="120" w:after="120" w:line="312" w:lineRule="auto"/>
        <w:ind w:right="-2" w:firstLine="708"/>
        <w:jc w:val="both"/>
        <w:rPr>
          <w:sz w:val="24"/>
          <w:szCs w:val="24"/>
        </w:rPr>
      </w:pPr>
      <w:r w:rsidRPr="0091078F">
        <w:rPr>
          <w:sz w:val="24"/>
          <w:szCs w:val="24"/>
        </w:rPr>
        <w:t>Kurulumuz 201</w:t>
      </w:r>
      <w:r w:rsidR="0091078F" w:rsidRPr="0091078F">
        <w:rPr>
          <w:sz w:val="24"/>
          <w:szCs w:val="24"/>
        </w:rPr>
        <w:t>3</w:t>
      </w:r>
      <w:r w:rsidR="00853CCC" w:rsidRPr="0091078F">
        <w:rPr>
          <w:sz w:val="24"/>
          <w:szCs w:val="24"/>
        </w:rPr>
        <w:t xml:space="preserve"> </w:t>
      </w:r>
      <w:r w:rsidR="003D4B2D" w:rsidRPr="0091078F">
        <w:rPr>
          <w:sz w:val="24"/>
          <w:szCs w:val="24"/>
        </w:rPr>
        <w:t xml:space="preserve">Mali yılı Temmuz-Aralık döneminde de, yukarıda açıklanan sebepler göz önünde bulundurulduğunda, rapor ekinde yer alan </w:t>
      </w:r>
      <w:r w:rsidR="00B5054E" w:rsidRPr="00B5054E">
        <w:rPr>
          <w:b/>
          <w:sz w:val="24"/>
          <w:szCs w:val="24"/>
        </w:rPr>
        <w:t xml:space="preserve">Ek </w:t>
      </w:r>
      <w:r w:rsidR="003D4B2D" w:rsidRPr="00B5054E">
        <w:rPr>
          <w:b/>
          <w:sz w:val="24"/>
          <w:szCs w:val="24"/>
        </w:rPr>
        <w:t>1</w:t>
      </w:r>
      <w:r w:rsidR="003D4B2D" w:rsidRPr="0091078F">
        <w:rPr>
          <w:sz w:val="24"/>
          <w:szCs w:val="24"/>
        </w:rPr>
        <w:t xml:space="preserve"> ve </w:t>
      </w:r>
      <w:r w:rsidR="00B5054E" w:rsidRPr="00B5054E">
        <w:rPr>
          <w:b/>
          <w:sz w:val="24"/>
          <w:szCs w:val="24"/>
        </w:rPr>
        <w:t xml:space="preserve">Ek </w:t>
      </w:r>
      <w:r w:rsidR="003D4B2D" w:rsidRPr="00B5054E">
        <w:rPr>
          <w:b/>
          <w:sz w:val="24"/>
          <w:szCs w:val="24"/>
        </w:rPr>
        <w:t>2</w:t>
      </w:r>
      <w:r w:rsidR="003D4B2D" w:rsidRPr="0091078F">
        <w:rPr>
          <w:sz w:val="24"/>
          <w:szCs w:val="24"/>
        </w:rPr>
        <w:t xml:space="preserve"> </w:t>
      </w:r>
      <w:proofErr w:type="spellStart"/>
      <w:r w:rsidR="003D4B2D" w:rsidRPr="0091078F">
        <w:rPr>
          <w:sz w:val="24"/>
          <w:szCs w:val="24"/>
        </w:rPr>
        <w:t>nolu</w:t>
      </w:r>
      <w:proofErr w:type="spellEnd"/>
      <w:r w:rsidR="003D4B2D" w:rsidRPr="0091078F">
        <w:rPr>
          <w:sz w:val="24"/>
          <w:szCs w:val="24"/>
        </w:rPr>
        <w:t xml:space="preserve"> tablolarda gösterilen ilk altı aylık gelir ve gider gelişimlerinin büyük bir farklılık göstermey</w:t>
      </w:r>
      <w:r w:rsidR="005541B6" w:rsidRPr="0091078F">
        <w:rPr>
          <w:sz w:val="24"/>
          <w:szCs w:val="24"/>
        </w:rPr>
        <w:t xml:space="preserve">eceği tahmin edilmektedir. Ancak, şu anda </w:t>
      </w:r>
      <w:r w:rsidR="00B5054E" w:rsidRPr="00B5054E">
        <w:rPr>
          <w:b/>
          <w:sz w:val="24"/>
          <w:szCs w:val="24"/>
        </w:rPr>
        <w:t>Ek</w:t>
      </w:r>
      <w:r w:rsidR="005541B6" w:rsidRPr="00B5054E">
        <w:rPr>
          <w:b/>
          <w:sz w:val="24"/>
          <w:szCs w:val="24"/>
        </w:rPr>
        <w:t xml:space="preserve"> 2</w:t>
      </w:r>
      <w:r w:rsidR="005541B6" w:rsidRPr="0091078F">
        <w:rPr>
          <w:sz w:val="24"/>
          <w:szCs w:val="24"/>
        </w:rPr>
        <w:t xml:space="preserve"> </w:t>
      </w:r>
      <w:proofErr w:type="spellStart"/>
      <w:r w:rsidR="005541B6" w:rsidRPr="0091078F">
        <w:rPr>
          <w:sz w:val="24"/>
          <w:szCs w:val="24"/>
        </w:rPr>
        <w:t>nolu</w:t>
      </w:r>
      <w:proofErr w:type="spellEnd"/>
      <w:r w:rsidR="005541B6" w:rsidRPr="0091078F">
        <w:rPr>
          <w:sz w:val="24"/>
          <w:szCs w:val="24"/>
        </w:rPr>
        <w:t xml:space="preserve"> tabloda görünmeyen finansman fazlasından aktarılan nakit, ikinci altı aylık dönem</w:t>
      </w:r>
      <w:r w:rsidR="00B033EC" w:rsidRPr="0091078F">
        <w:rPr>
          <w:sz w:val="24"/>
          <w:szCs w:val="24"/>
        </w:rPr>
        <w:t>e</w:t>
      </w:r>
      <w:r w:rsidR="0091078F" w:rsidRPr="0091078F">
        <w:rPr>
          <w:sz w:val="24"/>
          <w:szCs w:val="24"/>
        </w:rPr>
        <w:t xml:space="preserve"> </w:t>
      </w:r>
      <w:r w:rsidR="005541B6" w:rsidRPr="0091078F">
        <w:rPr>
          <w:sz w:val="24"/>
          <w:szCs w:val="24"/>
        </w:rPr>
        <w:t>de yansıyacaktır.</w:t>
      </w:r>
    </w:p>
    <w:p w:rsidR="0091078F" w:rsidRPr="0091078F" w:rsidRDefault="00853CCC" w:rsidP="0091078F">
      <w:pPr>
        <w:pStyle w:val="GvdeMetni"/>
        <w:spacing w:line="312" w:lineRule="auto"/>
        <w:ind w:firstLine="709"/>
        <w:jc w:val="both"/>
        <w:rPr>
          <w:sz w:val="24"/>
          <w:szCs w:val="24"/>
        </w:rPr>
      </w:pPr>
      <w:proofErr w:type="gramStart"/>
      <w:r w:rsidRPr="0091078F">
        <w:rPr>
          <w:sz w:val="24"/>
          <w:szCs w:val="24"/>
        </w:rPr>
        <w:t>2547 sayılı Yükseköğretim Kanunu’na 18.06.2008 t</w:t>
      </w:r>
      <w:r w:rsidR="00591DC8" w:rsidRPr="0091078F">
        <w:rPr>
          <w:sz w:val="24"/>
          <w:szCs w:val="24"/>
        </w:rPr>
        <w:t>arihli ve 5772 sayılı Kanun ile</w:t>
      </w:r>
      <w:r w:rsidRPr="0091078F">
        <w:rPr>
          <w:sz w:val="24"/>
          <w:szCs w:val="24"/>
        </w:rPr>
        <w:t xml:space="preserve"> eklenen 10 uncu maddesinin son fıkrasında yer alan hüküm gereğince, Kurulumuz bütçesin</w:t>
      </w:r>
      <w:r w:rsidR="0091078F" w:rsidRPr="0091078F">
        <w:rPr>
          <w:sz w:val="24"/>
          <w:szCs w:val="24"/>
        </w:rPr>
        <w:t xml:space="preserve">den </w:t>
      </w:r>
      <w:proofErr w:type="spellStart"/>
      <w:r w:rsidR="0091078F" w:rsidRPr="0091078F">
        <w:rPr>
          <w:sz w:val="24"/>
          <w:szCs w:val="24"/>
        </w:rPr>
        <w:t>Farabi</w:t>
      </w:r>
      <w:proofErr w:type="spellEnd"/>
      <w:r w:rsidR="0091078F" w:rsidRPr="0091078F">
        <w:rPr>
          <w:sz w:val="24"/>
          <w:szCs w:val="24"/>
        </w:rPr>
        <w:t xml:space="preserve"> Değişim Programı, Öğretim Üyesi Yetiştirme Programı ve aynı Kanunu’nun 39 uncu maddesi uyarınca; yurtdışında alanında inceleme ve araştırma yapmak üzere Başkanlığımız tarafından sağlanan Yüksek Lisans Araştırma Desteği, Doktora Araştırma Desteği, Doktora Sonrası Araştırma Desteği’nden yararlanan öğretim üyeleri için transfer tertibinden kaynak aktarımı yapılacaktır.  </w:t>
      </w:r>
      <w:proofErr w:type="gramEnd"/>
    </w:p>
    <w:p w:rsidR="00572627" w:rsidRDefault="00572627" w:rsidP="00572627">
      <w:pPr>
        <w:pStyle w:val="GvdeMetni"/>
        <w:spacing w:before="120" w:after="120" w:line="312" w:lineRule="auto"/>
        <w:ind w:left="708" w:right="-2"/>
        <w:jc w:val="both"/>
        <w:rPr>
          <w:b/>
          <w:sz w:val="24"/>
          <w:szCs w:val="24"/>
        </w:rPr>
      </w:pPr>
    </w:p>
    <w:p w:rsidR="00572627" w:rsidRPr="00572627" w:rsidRDefault="00572627" w:rsidP="00572627">
      <w:pPr>
        <w:pStyle w:val="GvdeMetni"/>
        <w:spacing w:before="120" w:after="120" w:line="312" w:lineRule="auto"/>
        <w:ind w:left="708" w:right="-2"/>
        <w:jc w:val="both"/>
        <w:rPr>
          <w:b/>
          <w:sz w:val="24"/>
          <w:szCs w:val="24"/>
        </w:rPr>
      </w:pPr>
      <w:r w:rsidRPr="00572627">
        <w:rPr>
          <w:b/>
          <w:sz w:val="24"/>
          <w:szCs w:val="24"/>
        </w:rPr>
        <w:t>A. Bütçe G</w:t>
      </w:r>
      <w:r>
        <w:rPr>
          <w:b/>
          <w:sz w:val="24"/>
          <w:szCs w:val="24"/>
        </w:rPr>
        <w:t>elirleri</w:t>
      </w:r>
    </w:p>
    <w:p w:rsidR="00F83E9D" w:rsidRDefault="00572627" w:rsidP="00572627">
      <w:pPr>
        <w:pStyle w:val="GvdeMetni"/>
        <w:spacing w:before="120" w:after="120" w:line="312" w:lineRule="auto"/>
        <w:ind w:right="-2" w:firstLine="708"/>
        <w:jc w:val="both"/>
        <w:rPr>
          <w:sz w:val="24"/>
          <w:szCs w:val="24"/>
        </w:rPr>
      </w:pPr>
      <w:r w:rsidRPr="0091078F">
        <w:rPr>
          <w:sz w:val="24"/>
          <w:szCs w:val="24"/>
        </w:rPr>
        <w:t xml:space="preserve">2013 Mali yılı </w:t>
      </w:r>
      <w:r>
        <w:rPr>
          <w:sz w:val="24"/>
          <w:szCs w:val="24"/>
        </w:rPr>
        <w:t xml:space="preserve">Temmuz-Aralık dönemi itibari ile Merkezi Yönetim Bütçe Kanunu ile tahsis edilmesi beklenen toplam 4.900.762.-TL gelir gerçekleşmesi </w:t>
      </w:r>
      <w:r w:rsidR="00FF6745">
        <w:rPr>
          <w:sz w:val="24"/>
          <w:szCs w:val="24"/>
        </w:rPr>
        <w:t>hedeflenmektedir.</w:t>
      </w:r>
      <w:r>
        <w:rPr>
          <w:sz w:val="24"/>
          <w:szCs w:val="24"/>
        </w:rPr>
        <w:t xml:space="preserve"> </w:t>
      </w:r>
    </w:p>
    <w:p w:rsidR="00732183" w:rsidRDefault="00732183" w:rsidP="00572627">
      <w:pPr>
        <w:pStyle w:val="GvdeMetni"/>
        <w:spacing w:before="120" w:after="120" w:line="312" w:lineRule="auto"/>
        <w:ind w:right="-2" w:firstLine="708"/>
        <w:jc w:val="both"/>
        <w:rPr>
          <w:sz w:val="24"/>
          <w:szCs w:val="24"/>
        </w:rPr>
      </w:pPr>
    </w:p>
    <w:p w:rsidR="00572627" w:rsidRDefault="00572627" w:rsidP="00572627">
      <w:pPr>
        <w:pStyle w:val="GvdeMetni"/>
        <w:spacing w:before="120" w:after="120" w:line="312" w:lineRule="auto"/>
        <w:ind w:left="708" w:right="-2"/>
        <w:jc w:val="both"/>
        <w:rPr>
          <w:b/>
          <w:sz w:val="24"/>
          <w:szCs w:val="24"/>
        </w:rPr>
      </w:pPr>
      <w:r>
        <w:rPr>
          <w:b/>
          <w:sz w:val="24"/>
          <w:szCs w:val="24"/>
        </w:rPr>
        <w:t>C</w:t>
      </w:r>
      <w:r w:rsidRPr="00572627">
        <w:rPr>
          <w:b/>
          <w:sz w:val="24"/>
          <w:szCs w:val="24"/>
        </w:rPr>
        <w:t xml:space="preserve">. </w:t>
      </w:r>
      <w:r>
        <w:rPr>
          <w:b/>
          <w:sz w:val="24"/>
          <w:szCs w:val="24"/>
        </w:rPr>
        <w:t>Finansman</w:t>
      </w:r>
    </w:p>
    <w:p w:rsidR="00572627" w:rsidRPr="00732183" w:rsidRDefault="00572627" w:rsidP="00732183">
      <w:pPr>
        <w:pStyle w:val="GvdeMetni"/>
        <w:spacing w:before="120" w:after="120" w:line="312" w:lineRule="auto"/>
        <w:ind w:right="-2" w:firstLine="708"/>
        <w:jc w:val="both"/>
        <w:rPr>
          <w:sz w:val="24"/>
          <w:szCs w:val="24"/>
        </w:rPr>
      </w:pPr>
      <w:r w:rsidRPr="00732183">
        <w:rPr>
          <w:sz w:val="24"/>
          <w:szCs w:val="24"/>
        </w:rPr>
        <w:t xml:space="preserve">2013 yılı ikinci altı aylık dönemde Kurlumuza ait giderlerimizi finanse etmek </w:t>
      </w:r>
      <w:proofErr w:type="gramStart"/>
      <w:r w:rsidR="00FF6745">
        <w:rPr>
          <w:sz w:val="24"/>
          <w:szCs w:val="24"/>
        </w:rPr>
        <w:t>amacıyla</w:t>
      </w:r>
      <w:r w:rsidRPr="00732183">
        <w:rPr>
          <w:sz w:val="24"/>
          <w:szCs w:val="24"/>
        </w:rPr>
        <w:t xml:space="preserve"> </w:t>
      </w:r>
      <w:r w:rsidR="00732183" w:rsidRPr="00732183">
        <w:rPr>
          <w:sz w:val="24"/>
          <w:szCs w:val="24"/>
        </w:rPr>
        <w:t xml:space="preserve"> Banka</w:t>
      </w:r>
      <w:proofErr w:type="gramEnd"/>
      <w:r w:rsidR="00732183" w:rsidRPr="00732183">
        <w:rPr>
          <w:sz w:val="24"/>
          <w:szCs w:val="24"/>
        </w:rPr>
        <w:t xml:space="preserve"> mevcutlarımızda </w:t>
      </w:r>
      <w:r w:rsidR="00FF6745">
        <w:rPr>
          <w:sz w:val="24"/>
          <w:szCs w:val="24"/>
        </w:rPr>
        <w:t xml:space="preserve">vadeli hesaplarda </w:t>
      </w:r>
      <w:r w:rsidR="00732183" w:rsidRPr="00732183">
        <w:rPr>
          <w:sz w:val="24"/>
          <w:szCs w:val="24"/>
        </w:rPr>
        <w:t xml:space="preserve">bulunan nakit miktarları ile </w:t>
      </w:r>
      <w:r w:rsidR="00FF6745">
        <w:rPr>
          <w:sz w:val="24"/>
          <w:szCs w:val="24"/>
        </w:rPr>
        <w:t xml:space="preserve">mevduata </w:t>
      </w:r>
      <w:r w:rsidR="00732183" w:rsidRPr="00732183">
        <w:rPr>
          <w:sz w:val="24"/>
          <w:szCs w:val="24"/>
        </w:rPr>
        <w:t>işletilen fa</w:t>
      </w:r>
      <w:r w:rsidR="00FF6745">
        <w:rPr>
          <w:sz w:val="24"/>
          <w:szCs w:val="24"/>
        </w:rPr>
        <w:t>i</w:t>
      </w:r>
      <w:r w:rsidR="00732183" w:rsidRPr="00732183">
        <w:rPr>
          <w:sz w:val="24"/>
          <w:szCs w:val="24"/>
        </w:rPr>
        <w:t>z</w:t>
      </w:r>
      <w:r w:rsidR="00FF6745">
        <w:rPr>
          <w:sz w:val="24"/>
          <w:szCs w:val="24"/>
        </w:rPr>
        <w:t xml:space="preserve"> </w:t>
      </w:r>
      <w:r w:rsidR="00732183" w:rsidRPr="00732183">
        <w:rPr>
          <w:sz w:val="24"/>
          <w:szCs w:val="24"/>
        </w:rPr>
        <w:t xml:space="preserve">kullanılacaktır. </w:t>
      </w:r>
    </w:p>
    <w:p w:rsidR="00572627" w:rsidRDefault="00572627" w:rsidP="00572627">
      <w:pPr>
        <w:pStyle w:val="GvdeMetni"/>
        <w:spacing w:before="120" w:after="120" w:line="312" w:lineRule="auto"/>
        <w:ind w:right="-2" w:firstLine="708"/>
        <w:jc w:val="both"/>
        <w:rPr>
          <w:sz w:val="24"/>
          <w:szCs w:val="24"/>
        </w:rPr>
      </w:pPr>
    </w:p>
    <w:p w:rsidR="00F83E9D" w:rsidRPr="0091078F" w:rsidRDefault="00732183" w:rsidP="00732183">
      <w:pPr>
        <w:pStyle w:val="GvdeMetni"/>
        <w:spacing w:before="120" w:after="120" w:line="312" w:lineRule="auto"/>
        <w:ind w:left="709" w:right="-2"/>
        <w:jc w:val="both"/>
        <w:rPr>
          <w:b/>
          <w:sz w:val="24"/>
          <w:szCs w:val="24"/>
        </w:rPr>
      </w:pPr>
      <w:r>
        <w:rPr>
          <w:b/>
          <w:sz w:val="24"/>
          <w:szCs w:val="24"/>
        </w:rPr>
        <w:t>IV-</w:t>
      </w:r>
      <w:r w:rsidR="00F83E9D" w:rsidRPr="0091078F">
        <w:rPr>
          <w:b/>
          <w:sz w:val="24"/>
          <w:szCs w:val="24"/>
        </w:rPr>
        <w:t>TEMMUZ-ARALIK 201</w:t>
      </w:r>
      <w:r w:rsidR="00004BA4">
        <w:rPr>
          <w:b/>
          <w:sz w:val="24"/>
          <w:szCs w:val="24"/>
        </w:rPr>
        <w:t>3</w:t>
      </w:r>
      <w:r w:rsidR="00F83E9D" w:rsidRPr="0091078F">
        <w:rPr>
          <w:b/>
          <w:sz w:val="24"/>
          <w:szCs w:val="24"/>
        </w:rPr>
        <w:t xml:space="preserve"> DÖNEMİNDE YÜRÜTÜLECEK FAALİYETLER</w:t>
      </w:r>
    </w:p>
    <w:p w:rsidR="00F83E9D" w:rsidRPr="0091078F" w:rsidRDefault="00F83E9D" w:rsidP="00F83E9D">
      <w:pPr>
        <w:pStyle w:val="GvdeMetni"/>
        <w:spacing w:before="120" w:after="120" w:line="312" w:lineRule="auto"/>
        <w:ind w:right="-2"/>
        <w:jc w:val="both"/>
        <w:rPr>
          <w:sz w:val="24"/>
          <w:szCs w:val="24"/>
        </w:rPr>
      </w:pPr>
    </w:p>
    <w:p w:rsidR="00853CCC" w:rsidRPr="0091078F" w:rsidRDefault="00853CCC" w:rsidP="00D379CD">
      <w:pPr>
        <w:pStyle w:val="GvdeMetni"/>
        <w:spacing w:before="120" w:after="120" w:line="312" w:lineRule="auto"/>
        <w:ind w:right="-2" w:firstLine="708"/>
        <w:jc w:val="both"/>
        <w:rPr>
          <w:sz w:val="24"/>
          <w:szCs w:val="24"/>
        </w:rPr>
      </w:pPr>
      <w:r w:rsidRPr="0091078F">
        <w:rPr>
          <w:sz w:val="24"/>
          <w:szCs w:val="24"/>
        </w:rPr>
        <w:t xml:space="preserve">Bu döneme ilişkin olarak, Yükseköğretim Kurulu hizmetlerinin istenilen düzeyde ve kalitede sunulabilmesi amacıyla tahsis edilen kaynakların, bütçe ve gider mevzuatına uygun olarak etkili, ekonomik ve verimli bir şekilde kullanılmasına devam edilecektir. </w:t>
      </w:r>
    </w:p>
    <w:p w:rsidR="00853CCC" w:rsidRPr="0091078F" w:rsidRDefault="00853CCC" w:rsidP="00D379CD">
      <w:pPr>
        <w:pStyle w:val="GvdeMetni"/>
        <w:spacing w:before="120" w:after="120" w:line="312" w:lineRule="auto"/>
        <w:ind w:right="-2" w:firstLine="708"/>
        <w:jc w:val="both"/>
        <w:rPr>
          <w:sz w:val="24"/>
          <w:szCs w:val="24"/>
        </w:rPr>
      </w:pPr>
      <w:r w:rsidRPr="0091078F">
        <w:rPr>
          <w:sz w:val="24"/>
          <w:szCs w:val="24"/>
        </w:rPr>
        <w:lastRenderedPageBreak/>
        <w:t>Ayrıca;</w:t>
      </w:r>
    </w:p>
    <w:p w:rsidR="00853CCC" w:rsidRPr="0091078F" w:rsidRDefault="00853CCC" w:rsidP="00D379CD">
      <w:pPr>
        <w:pStyle w:val="GvdeMetni"/>
        <w:spacing w:before="120" w:after="120" w:line="312" w:lineRule="auto"/>
        <w:ind w:right="-2" w:firstLine="708"/>
        <w:jc w:val="both"/>
        <w:rPr>
          <w:sz w:val="24"/>
          <w:szCs w:val="24"/>
        </w:rPr>
      </w:pPr>
      <w:r w:rsidRPr="0091078F">
        <w:rPr>
          <w:sz w:val="24"/>
          <w:szCs w:val="24"/>
        </w:rPr>
        <w:t>- Kaliteli eğitim-öğretim sunan,</w:t>
      </w:r>
    </w:p>
    <w:p w:rsidR="00853CCC" w:rsidRPr="0091078F" w:rsidRDefault="00853CCC" w:rsidP="00D379CD">
      <w:pPr>
        <w:pStyle w:val="GvdeMetni"/>
        <w:spacing w:before="120" w:after="120" w:line="312" w:lineRule="auto"/>
        <w:ind w:right="-2" w:firstLine="708"/>
        <w:jc w:val="both"/>
        <w:rPr>
          <w:sz w:val="24"/>
          <w:szCs w:val="24"/>
        </w:rPr>
      </w:pPr>
      <w:r w:rsidRPr="0091078F">
        <w:rPr>
          <w:sz w:val="24"/>
          <w:szCs w:val="24"/>
        </w:rPr>
        <w:t>- Bilimsel araştırma yapan,</w:t>
      </w:r>
    </w:p>
    <w:p w:rsidR="00853CCC" w:rsidRPr="0091078F" w:rsidRDefault="00853CCC" w:rsidP="00D379CD">
      <w:pPr>
        <w:pStyle w:val="GvdeMetni"/>
        <w:spacing w:before="120" w:after="120" w:line="312" w:lineRule="auto"/>
        <w:ind w:right="-2" w:firstLine="708"/>
        <w:jc w:val="both"/>
        <w:rPr>
          <w:sz w:val="24"/>
          <w:szCs w:val="24"/>
        </w:rPr>
      </w:pPr>
      <w:r w:rsidRPr="0091078F">
        <w:rPr>
          <w:sz w:val="24"/>
          <w:szCs w:val="24"/>
        </w:rPr>
        <w:t xml:space="preserve">- Teknolojik ve bilimsel gelişmelerin öncülüğünü yapan, </w:t>
      </w:r>
    </w:p>
    <w:p w:rsidR="00853CCC" w:rsidRPr="0091078F" w:rsidRDefault="00853CCC" w:rsidP="005F4FA8">
      <w:pPr>
        <w:pStyle w:val="GvdeMetni"/>
        <w:spacing w:before="120" w:after="120" w:line="312" w:lineRule="auto"/>
        <w:ind w:right="-2" w:firstLine="708"/>
        <w:jc w:val="both"/>
        <w:rPr>
          <w:sz w:val="24"/>
          <w:szCs w:val="24"/>
        </w:rPr>
      </w:pPr>
      <w:r w:rsidRPr="0091078F">
        <w:rPr>
          <w:sz w:val="24"/>
          <w:szCs w:val="24"/>
        </w:rPr>
        <w:t xml:space="preserve">- Toplumun ekonomik ve kültürel kalkınmasına katkıda bulunan, </w:t>
      </w:r>
    </w:p>
    <w:p w:rsidR="00D379CD" w:rsidRPr="0091078F" w:rsidRDefault="00853CCC" w:rsidP="005F4FA8">
      <w:pPr>
        <w:pStyle w:val="GvdeMetni"/>
        <w:spacing w:before="120" w:after="120" w:line="312" w:lineRule="auto"/>
        <w:ind w:right="-2" w:firstLine="708"/>
        <w:jc w:val="both"/>
        <w:rPr>
          <w:sz w:val="24"/>
          <w:szCs w:val="24"/>
        </w:rPr>
      </w:pPr>
      <w:r w:rsidRPr="0091078F">
        <w:rPr>
          <w:sz w:val="24"/>
          <w:szCs w:val="24"/>
        </w:rPr>
        <w:t>- Araştırma ve proje yürütücülüğü hizmet</w:t>
      </w:r>
      <w:r w:rsidR="005F4FA8" w:rsidRPr="0091078F">
        <w:rPr>
          <w:sz w:val="24"/>
          <w:szCs w:val="24"/>
        </w:rPr>
        <w:t xml:space="preserve">lerini en iyi şekilde </w:t>
      </w:r>
      <w:proofErr w:type="gramStart"/>
      <w:r w:rsidR="005F4FA8" w:rsidRPr="0091078F">
        <w:rPr>
          <w:sz w:val="24"/>
          <w:szCs w:val="24"/>
        </w:rPr>
        <w:t xml:space="preserve">sunan </w:t>
      </w:r>
      <w:r w:rsidR="00D379CD" w:rsidRPr="0091078F">
        <w:rPr>
          <w:sz w:val="24"/>
          <w:szCs w:val="24"/>
        </w:rPr>
        <w:t xml:space="preserve"> </w:t>
      </w:r>
      <w:r w:rsidRPr="0091078F">
        <w:rPr>
          <w:sz w:val="24"/>
          <w:szCs w:val="24"/>
        </w:rPr>
        <w:t>bir</w:t>
      </w:r>
      <w:proofErr w:type="gramEnd"/>
      <w:r w:rsidRPr="0091078F">
        <w:rPr>
          <w:sz w:val="24"/>
          <w:szCs w:val="24"/>
        </w:rPr>
        <w:t xml:space="preserve"> yükseköğretim sistemi oluşturulması,</w:t>
      </w:r>
    </w:p>
    <w:p w:rsidR="00853CCC" w:rsidRPr="0091078F" w:rsidRDefault="005F4FA8" w:rsidP="00D379CD">
      <w:pPr>
        <w:pStyle w:val="GvdeMetni"/>
        <w:spacing w:before="120" w:after="120" w:line="312" w:lineRule="auto"/>
        <w:ind w:right="-2" w:firstLine="708"/>
        <w:jc w:val="both"/>
        <w:rPr>
          <w:sz w:val="24"/>
          <w:szCs w:val="24"/>
        </w:rPr>
      </w:pPr>
      <w:r w:rsidRPr="0091078F">
        <w:rPr>
          <w:sz w:val="24"/>
          <w:szCs w:val="24"/>
        </w:rPr>
        <w:t xml:space="preserve"> -Y</w:t>
      </w:r>
      <w:r w:rsidR="00853CCC" w:rsidRPr="0091078F">
        <w:rPr>
          <w:sz w:val="24"/>
          <w:szCs w:val="24"/>
        </w:rPr>
        <w:t>ükseköğretim kurumlarında öğretim elemanı açığının giderilmesi ve üniversitelerin eğitim-öğretim bilimsel araştırma ve yayın faaliyetlerinin koordine edilmesi hedeflerimiz arasında yer almaktadır.</w:t>
      </w:r>
    </w:p>
    <w:p w:rsidR="00853CCC" w:rsidRPr="0091078F" w:rsidRDefault="00D379CD" w:rsidP="00D379CD">
      <w:pPr>
        <w:pStyle w:val="GvdeMetni"/>
        <w:spacing w:before="120" w:after="120" w:line="312" w:lineRule="auto"/>
        <w:ind w:right="-2" w:firstLine="708"/>
        <w:jc w:val="both"/>
        <w:rPr>
          <w:sz w:val="24"/>
          <w:szCs w:val="24"/>
        </w:rPr>
      </w:pPr>
      <w:r w:rsidRPr="0091078F">
        <w:rPr>
          <w:sz w:val="24"/>
          <w:szCs w:val="24"/>
        </w:rPr>
        <w:t xml:space="preserve">   </w:t>
      </w:r>
      <w:r w:rsidR="00853CCC" w:rsidRPr="0091078F">
        <w:rPr>
          <w:sz w:val="24"/>
          <w:szCs w:val="24"/>
        </w:rPr>
        <w:t>Kamuoyunun bilgisine sunulur.</w:t>
      </w:r>
      <w:r w:rsidR="00853CCC" w:rsidRPr="0091078F">
        <w:rPr>
          <w:sz w:val="24"/>
          <w:szCs w:val="24"/>
        </w:rPr>
        <w:tab/>
      </w:r>
      <w:r w:rsidR="00853CCC" w:rsidRPr="0091078F">
        <w:rPr>
          <w:sz w:val="24"/>
          <w:szCs w:val="24"/>
        </w:rPr>
        <w:tab/>
      </w:r>
    </w:p>
    <w:p w:rsidR="00677251" w:rsidRPr="0091078F" w:rsidRDefault="00853CCC" w:rsidP="00F83E9D">
      <w:pPr>
        <w:pStyle w:val="GvdeMetni"/>
        <w:spacing w:before="120" w:after="120" w:line="312" w:lineRule="auto"/>
        <w:ind w:right="-2" w:firstLine="708"/>
        <w:jc w:val="both"/>
        <w:rPr>
          <w:sz w:val="24"/>
          <w:szCs w:val="24"/>
        </w:rPr>
      </w:pPr>
      <w:r w:rsidRPr="0091078F">
        <w:rPr>
          <w:sz w:val="24"/>
          <w:szCs w:val="24"/>
        </w:rPr>
        <w:tab/>
      </w:r>
      <w:r w:rsidRPr="0091078F">
        <w:rPr>
          <w:sz w:val="24"/>
          <w:szCs w:val="24"/>
        </w:rPr>
        <w:tab/>
      </w:r>
      <w:r w:rsidRPr="0091078F">
        <w:rPr>
          <w:sz w:val="24"/>
          <w:szCs w:val="24"/>
        </w:rPr>
        <w:tab/>
      </w:r>
      <w:r w:rsidRPr="0091078F">
        <w:rPr>
          <w:sz w:val="24"/>
          <w:szCs w:val="24"/>
        </w:rPr>
        <w:tab/>
      </w:r>
    </w:p>
    <w:p w:rsidR="00677251" w:rsidRDefault="00677251" w:rsidP="00F83E9D">
      <w:pPr>
        <w:pStyle w:val="GvdeMetni"/>
        <w:spacing w:before="120" w:after="120" w:line="312" w:lineRule="auto"/>
        <w:ind w:right="-2" w:firstLine="708"/>
        <w:jc w:val="both"/>
        <w:rPr>
          <w:sz w:val="22"/>
          <w:szCs w:val="22"/>
        </w:rPr>
      </w:pPr>
    </w:p>
    <w:p w:rsidR="00677251" w:rsidRDefault="00677251" w:rsidP="00F83E9D">
      <w:pPr>
        <w:pStyle w:val="GvdeMetni"/>
        <w:spacing w:before="120" w:after="120" w:line="312" w:lineRule="auto"/>
        <w:ind w:right="-2" w:firstLine="708"/>
        <w:jc w:val="both"/>
        <w:rPr>
          <w:sz w:val="22"/>
          <w:szCs w:val="22"/>
        </w:rPr>
      </w:pPr>
    </w:p>
    <w:p w:rsidR="00677251" w:rsidRDefault="00677251" w:rsidP="00F83E9D">
      <w:pPr>
        <w:pStyle w:val="GvdeMetni"/>
        <w:spacing w:before="120" w:after="120" w:line="312" w:lineRule="auto"/>
        <w:ind w:right="-2" w:firstLine="708"/>
        <w:jc w:val="both"/>
        <w:rPr>
          <w:sz w:val="22"/>
          <w:szCs w:val="22"/>
        </w:rPr>
      </w:pPr>
    </w:p>
    <w:p w:rsidR="00677251" w:rsidRDefault="00677251" w:rsidP="00F83E9D">
      <w:pPr>
        <w:pStyle w:val="GvdeMetni"/>
        <w:spacing w:before="120" w:after="120" w:line="312" w:lineRule="auto"/>
        <w:ind w:right="-2" w:firstLine="708"/>
        <w:jc w:val="both"/>
        <w:rPr>
          <w:sz w:val="22"/>
          <w:szCs w:val="22"/>
        </w:rPr>
      </w:pPr>
    </w:p>
    <w:p w:rsidR="00853CCC" w:rsidRPr="005957A3" w:rsidRDefault="00853CCC" w:rsidP="00F83E9D">
      <w:pPr>
        <w:pStyle w:val="GvdeMetni"/>
        <w:spacing w:before="120" w:after="120" w:line="312" w:lineRule="auto"/>
        <w:ind w:right="-2" w:firstLine="708"/>
        <w:jc w:val="both"/>
        <w:rPr>
          <w:sz w:val="22"/>
          <w:szCs w:val="22"/>
        </w:rPr>
      </w:pPr>
      <w:r w:rsidRPr="005957A3">
        <w:rPr>
          <w:sz w:val="22"/>
          <w:szCs w:val="22"/>
        </w:rPr>
        <w:tab/>
      </w:r>
      <w:r w:rsidRPr="005957A3">
        <w:rPr>
          <w:sz w:val="22"/>
          <w:szCs w:val="22"/>
        </w:rPr>
        <w:tab/>
      </w:r>
      <w:r w:rsidRPr="005957A3">
        <w:rPr>
          <w:sz w:val="22"/>
          <w:szCs w:val="22"/>
        </w:rPr>
        <w:tab/>
      </w:r>
      <w:r w:rsidRPr="005957A3">
        <w:rPr>
          <w:sz w:val="22"/>
          <w:szCs w:val="22"/>
        </w:rPr>
        <w:tab/>
      </w:r>
      <w:r w:rsidRPr="005957A3">
        <w:rPr>
          <w:sz w:val="22"/>
          <w:szCs w:val="22"/>
        </w:rPr>
        <w:tab/>
      </w:r>
      <w:r w:rsidRPr="005957A3">
        <w:rPr>
          <w:sz w:val="22"/>
          <w:szCs w:val="22"/>
        </w:rPr>
        <w:tab/>
      </w:r>
      <w:r w:rsidRPr="005957A3">
        <w:rPr>
          <w:sz w:val="22"/>
          <w:szCs w:val="22"/>
        </w:rPr>
        <w:tab/>
      </w:r>
    </w:p>
    <w:p w:rsidR="00853CCC" w:rsidRPr="005957A3" w:rsidRDefault="00853CCC" w:rsidP="00D379CD">
      <w:pPr>
        <w:pStyle w:val="GvdeMetni"/>
        <w:spacing w:before="120" w:after="120" w:line="312" w:lineRule="auto"/>
        <w:ind w:right="-2" w:firstLine="708"/>
        <w:jc w:val="both"/>
        <w:rPr>
          <w:sz w:val="22"/>
          <w:szCs w:val="22"/>
        </w:rPr>
      </w:pPr>
    </w:p>
    <w:p w:rsidR="00853CCC" w:rsidRPr="005957A3" w:rsidRDefault="00853CCC" w:rsidP="00D379CD">
      <w:pPr>
        <w:pStyle w:val="GvdeMetni"/>
        <w:spacing w:before="120" w:after="120" w:line="312" w:lineRule="auto"/>
        <w:ind w:right="-2" w:firstLine="708"/>
        <w:jc w:val="both"/>
        <w:rPr>
          <w:sz w:val="22"/>
          <w:szCs w:val="22"/>
        </w:rPr>
      </w:pPr>
      <w:r w:rsidRPr="005957A3">
        <w:rPr>
          <w:sz w:val="22"/>
          <w:szCs w:val="22"/>
        </w:rPr>
        <w:t xml:space="preserve">EK: 1-Bütçe Giderlerinin Gelişimi Tablosu </w:t>
      </w:r>
    </w:p>
    <w:p w:rsidR="00853CCC" w:rsidRPr="005957A3" w:rsidRDefault="00787525" w:rsidP="00D379CD">
      <w:pPr>
        <w:pStyle w:val="GvdeMetni"/>
        <w:spacing w:before="120" w:after="120" w:line="312" w:lineRule="auto"/>
        <w:ind w:right="-2" w:firstLine="708"/>
        <w:jc w:val="both"/>
        <w:rPr>
          <w:sz w:val="22"/>
          <w:szCs w:val="22"/>
        </w:rPr>
      </w:pPr>
      <w:r w:rsidRPr="005957A3">
        <w:rPr>
          <w:sz w:val="22"/>
          <w:szCs w:val="22"/>
        </w:rPr>
        <w:t xml:space="preserve">       </w:t>
      </w:r>
      <w:r w:rsidR="00591DC8" w:rsidRPr="005957A3">
        <w:rPr>
          <w:sz w:val="22"/>
          <w:szCs w:val="22"/>
        </w:rPr>
        <w:t xml:space="preserve">2-Bütçe </w:t>
      </w:r>
      <w:r w:rsidR="00853CCC" w:rsidRPr="005957A3">
        <w:rPr>
          <w:sz w:val="22"/>
          <w:szCs w:val="22"/>
        </w:rPr>
        <w:t>Gelirlerinin Gelişimi Tablosu</w:t>
      </w:r>
    </w:p>
    <w:p w:rsidR="00853CCC" w:rsidRPr="005957A3" w:rsidRDefault="00853CCC" w:rsidP="00D379CD">
      <w:pPr>
        <w:pStyle w:val="GvdeMetni"/>
        <w:spacing w:before="120" w:after="120" w:line="312" w:lineRule="auto"/>
        <w:ind w:right="-2" w:firstLine="708"/>
        <w:jc w:val="both"/>
        <w:rPr>
          <w:sz w:val="22"/>
          <w:szCs w:val="22"/>
        </w:rPr>
      </w:pPr>
    </w:p>
    <w:sectPr w:rsidR="00853CCC" w:rsidRPr="005957A3" w:rsidSect="00840057">
      <w:pgSz w:w="11906" w:h="16838"/>
      <w:pgMar w:top="964" w:right="1418" w:bottom="1134" w:left="1418" w:header="709"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612E" w:rsidRDefault="005C612E">
      <w:r>
        <w:separator/>
      </w:r>
    </w:p>
  </w:endnote>
  <w:endnote w:type="continuationSeparator" w:id="0">
    <w:p w:rsidR="005C612E" w:rsidRDefault="005C61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A00002EF" w:usb1="4000004B" w:usb2="00000000" w:usb3="00000000" w:csb0="0000019F" w:csb1="00000000"/>
  </w:font>
  <w:font w:name="Calibri">
    <w:panose1 w:val="020F0502020204030204"/>
    <w:charset w:val="A2"/>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635" w:rsidRDefault="006B05C2" w:rsidP="005057F5">
    <w:pPr>
      <w:pStyle w:val="Altbilgi"/>
      <w:framePr w:wrap="around" w:vAnchor="text" w:hAnchor="margin" w:xAlign="right" w:y="1"/>
      <w:rPr>
        <w:rStyle w:val="SayfaNumaras"/>
      </w:rPr>
    </w:pPr>
    <w:r>
      <w:rPr>
        <w:rStyle w:val="SayfaNumaras"/>
      </w:rPr>
      <w:fldChar w:fldCharType="begin"/>
    </w:r>
    <w:r w:rsidR="006F7635">
      <w:rPr>
        <w:rStyle w:val="SayfaNumaras"/>
      </w:rPr>
      <w:instrText xml:space="preserve">PAGE  </w:instrText>
    </w:r>
    <w:r>
      <w:rPr>
        <w:rStyle w:val="SayfaNumaras"/>
      </w:rPr>
      <w:fldChar w:fldCharType="end"/>
    </w:r>
  </w:p>
  <w:p w:rsidR="006F7635" w:rsidRDefault="006F7635" w:rsidP="006F7635">
    <w:pPr>
      <w:pStyle w:val="Altbilgi"/>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635" w:rsidRDefault="006F7635" w:rsidP="006F7635">
    <w:pPr>
      <w:pStyle w:val="Altbilgi"/>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612E" w:rsidRDefault="005C612E">
      <w:r>
        <w:separator/>
      </w:r>
    </w:p>
  </w:footnote>
  <w:footnote w:type="continuationSeparator" w:id="0">
    <w:p w:rsidR="005C612E" w:rsidRDefault="005C61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C0D6B"/>
    <w:multiLevelType w:val="hybridMultilevel"/>
    <w:tmpl w:val="A8DA51CE"/>
    <w:lvl w:ilvl="0" w:tplc="ADA0673A">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
    <w:nsid w:val="0E784C8F"/>
    <w:multiLevelType w:val="hybridMultilevel"/>
    <w:tmpl w:val="7F1494BE"/>
    <w:lvl w:ilvl="0" w:tplc="D08402AC">
      <w:start w:val="1"/>
      <w:numFmt w:val="bullet"/>
      <w:lvlText w:val="•"/>
      <w:lvlJc w:val="left"/>
      <w:pPr>
        <w:tabs>
          <w:tab w:val="num" w:pos="720"/>
        </w:tabs>
        <w:ind w:left="720" w:hanging="360"/>
      </w:pPr>
      <w:rPr>
        <w:rFonts w:ascii="Arial" w:hAnsi="Arial" w:hint="default"/>
      </w:rPr>
    </w:lvl>
    <w:lvl w:ilvl="1" w:tplc="E20A18DC" w:tentative="1">
      <w:start w:val="1"/>
      <w:numFmt w:val="bullet"/>
      <w:lvlText w:val="•"/>
      <w:lvlJc w:val="left"/>
      <w:pPr>
        <w:tabs>
          <w:tab w:val="num" w:pos="1440"/>
        </w:tabs>
        <w:ind w:left="1440" w:hanging="360"/>
      </w:pPr>
      <w:rPr>
        <w:rFonts w:ascii="Arial" w:hAnsi="Arial" w:hint="default"/>
      </w:rPr>
    </w:lvl>
    <w:lvl w:ilvl="2" w:tplc="27C2B5CE" w:tentative="1">
      <w:start w:val="1"/>
      <w:numFmt w:val="bullet"/>
      <w:lvlText w:val="•"/>
      <w:lvlJc w:val="left"/>
      <w:pPr>
        <w:tabs>
          <w:tab w:val="num" w:pos="2160"/>
        </w:tabs>
        <w:ind w:left="2160" w:hanging="360"/>
      </w:pPr>
      <w:rPr>
        <w:rFonts w:ascii="Arial" w:hAnsi="Arial" w:hint="default"/>
      </w:rPr>
    </w:lvl>
    <w:lvl w:ilvl="3" w:tplc="1706B1B0" w:tentative="1">
      <w:start w:val="1"/>
      <w:numFmt w:val="bullet"/>
      <w:lvlText w:val="•"/>
      <w:lvlJc w:val="left"/>
      <w:pPr>
        <w:tabs>
          <w:tab w:val="num" w:pos="2880"/>
        </w:tabs>
        <w:ind w:left="2880" w:hanging="360"/>
      </w:pPr>
      <w:rPr>
        <w:rFonts w:ascii="Arial" w:hAnsi="Arial" w:hint="default"/>
      </w:rPr>
    </w:lvl>
    <w:lvl w:ilvl="4" w:tplc="32347142" w:tentative="1">
      <w:start w:val="1"/>
      <w:numFmt w:val="bullet"/>
      <w:lvlText w:val="•"/>
      <w:lvlJc w:val="left"/>
      <w:pPr>
        <w:tabs>
          <w:tab w:val="num" w:pos="3600"/>
        </w:tabs>
        <w:ind w:left="3600" w:hanging="360"/>
      </w:pPr>
      <w:rPr>
        <w:rFonts w:ascii="Arial" w:hAnsi="Arial" w:hint="default"/>
      </w:rPr>
    </w:lvl>
    <w:lvl w:ilvl="5" w:tplc="88A0F3A2" w:tentative="1">
      <w:start w:val="1"/>
      <w:numFmt w:val="bullet"/>
      <w:lvlText w:val="•"/>
      <w:lvlJc w:val="left"/>
      <w:pPr>
        <w:tabs>
          <w:tab w:val="num" w:pos="4320"/>
        </w:tabs>
        <w:ind w:left="4320" w:hanging="360"/>
      </w:pPr>
      <w:rPr>
        <w:rFonts w:ascii="Arial" w:hAnsi="Arial" w:hint="default"/>
      </w:rPr>
    </w:lvl>
    <w:lvl w:ilvl="6" w:tplc="261420EC" w:tentative="1">
      <w:start w:val="1"/>
      <w:numFmt w:val="bullet"/>
      <w:lvlText w:val="•"/>
      <w:lvlJc w:val="left"/>
      <w:pPr>
        <w:tabs>
          <w:tab w:val="num" w:pos="5040"/>
        </w:tabs>
        <w:ind w:left="5040" w:hanging="360"/>
      </w:pPr>
      <w:rPr>
        <w:rFonts w:ascii="Arial" w:hAnsi="Arial" w:hint="default"/>
      </w:rPr>
    </w:lvl>
    <w:lvl w:ilvl="7" w:tplc="69508F5C" w:tentative="1">
      <w:start w:val="1"/>
      <w:numFmt w:val="bullet"/>
      <w:lvlText w:val="•"/>
      <w:lvlJc w:val="left"/>
      <w:pPr>
        <w:tabs>
          <w:tab w:val="num" w:pos="5760"/>
        </w:tabs>
        <w:ind w:left="5760" w:hanging="360"/>
      </w:pPr>
      <w:rPr>
        <w:rFonts w:ascii="Arial" w:hAnsi="Arial" w:hint="default"/>
      </w:rPr>
    </w:lvl>
    <w:lvl w:ilvl="8" w:tplc="56E287C4" w:tentative="1">
      <w:start w:val="1"/>
      <w:numFmt w:val="bullet"/>
      <w:lvlText w:val="•"/>
      <w:lvlJc w:val="left"/>
      <w:pPr>
        <w:tabs>
          <w:tab w:val="num" w:pos="6480"/>
        </w:tabs>
        <w:ind w:left="6480" w:hanging="360"/>
      </w:pPr>
      <w:rPr>
        <w:rFonts w:ascii="Arial" w:hAnsi="Arial" w:hint="default"/>
      </w:rPr>
    </w:lvl>
  </w:abstractNum>
  <w:abstractNum w:abstractNumId="2">
    <w:nsid w:val="12E332AF"/>
    <w:multiLevelType w:val="hybridMultilevel"/>
    <w:tmpl w:val="C7A6AB6A"/>
    <w:lvl w:ilvl="0" w:tplc="00CE2FC4">
      <w:start w:val="1"/>
      <w:numFmt w:val="upperRoman"/>
      <w:lvlText w:val="%1-"/>
      <w:lvlJc w:val="left"/>
      <w:pPr>
        <w:ind w:left="1004" w:hanging="72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
    <w:nsid w:val="2EBD453A"/>
    <w:multiLevelType w:val="hybridMultilevel"/>
    <w:tmpl w:val="7F30F4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16949D7"/>
    <w:multiLevelType w:val="hybridMultilevel"/>
    <w:tmpl w:val="F734107A"/>
    <w:lvl w:ilvl="0" w:tplc="5A607F34">
      <w:start w:val="1"/>
      <w:numFmt w:val="bullet"/>
      <w:lvlText w:val="•"/>
      <w:lvlJc w:val="left"/>
      <w:pPr>
        <w:tabs>
          <w:tab w:val="num" w:pos="720"/>
        </w:tabs>
        <w:ind w:left="720" w:hanging="360"/>
      </w:pPr>
      <w:rPr>
        <w:rFonts w:ascii="Arial" w:hAnsi="Arial" w:hint="default"/>
      </w:rPr>
    </w:lvl>
    <w:lvl w:ilvl="1" w:tplc="908CE22A" w:tentative="1">
      <w:start w:val="1"/>
      <w:numFmt w:val="bullet"/>
      <w:lvlText w:val="•"/>
      <w:lvlJc w:val="left"/>
      <w:pPr>
        <w:tabs>
          <w:tab w:val="num" w:pos="1440"/>
        </w:tabs>
        <w:ind w:left="1440" w:hanging="360"/>
      </w:pPr>
      <w:rPr>
        <w:rFonts w:ascii="Arial" w:hAnsi="Arial" w:hint="default"/>
      </w:rPr>
    </w:lvl>
    <w:lvl w:ilvl="2" w:tplc="F90AB490" w:tentative="1">
      <w:start w:val="1"/>
      <w:numFmt w:val="bullet"/>
      <w:lvlText w:val="•"/>
      <w:lvlJc w:val="left"/>
      <w:pPr>
        <w:tabs>
          <w:tab w:val="num" w:pos="2160"/>
        </w:tabs>
        <w:ind w:left="2160" w:hanging="360"/>
      </w:pPr>
      <w:rPr>
        <w:rFonts w:ascii="Arial" w:hAnsi="Arial" w:hint="default"/>
      </w:rPr>
    </w:lvl>
    <w:lvl w:ilvl="3" w:tplc="963033BC" w:tentative="1">
      <w:start w:val="1"/>
      <w:numFmt w:val="bullet"/>
      <w:lvlText w:val="•"/>
      <w:lvlJc w:val="left"/>
      <w:pPr>
        <w:tabs>
          <w:tab w:val="num" w:pos="2880"/>
        </w:tabs>
        <w:ind w:left="2880" w:hanging="360"/>
      </w:pPr>
      <w:rPr>
        <w:rFonts w:ascii="Arial" w:hAnsi="Arial" w:hint="default"/>
      </w:rPr>
    </w:lvl>
    <w:lvl w:ilvl="4" w:tplc="1FB6FAF8" w:tentative="1">
      <w:start w:val="1"/>
      <w:numFmt w:val="bullet"/>
      <w:lvlText w:val="•"/>
      <w:lvlJc w:val="left"/>
      <w:pPr>
        <w:tabs>
          <w:tab w:val="num" w:pos="3600"/>
        </w:tabs>
        <w:ind w:left="3600" w:hanging="360"/>
      </w:pPr>
      <w:rPr>
        <w:rFonts w:ascii="Arial" w:hAnsi="Arial" w:hint="default"/>
      </w:rPr>
    </w:lvl>
    <w:lvl w:ilvl="5" w:tplc="8A5C6224" w:tentative="1">
      <w:start w:val="1"/>
      <w:numFmt w:val="bullet"/>
      <w:lvlText w:val="•"/>
      <w:lvlJc w:val="left"/>
      <w:pPr>
        <w:tabs>
          <w:tab w:val="num" w:pos="4320"/>
        </w:tabs>
        <w:ind w:left="4320" w:hanging="360"/>
      </w:pPr>
      <w:rPr>
        <w:rFonts w:ascii="Arial" w:hAnsi="Arial" w:hint="default"/>
      </w:rPr>
    </w:lvl>
    <w:lvl w:ilvl="6" w:tplc="85E8B224" w:tentative="1">
      <w:start w:val="1"/>
      <w:numFmt w:val="bullet"/>
      <w:lvlText w:val="•"/>
      <w:lvlJc w:val="left"/>
      <w:pPr>
        <w:tabs>
          <w:tab w:val="num" w:pos="5040"/>
        </w:tabs>
        <w:ind w:left="5040" w:hanging="360"/>
      </w:pPr>
      <w:rPr>
        <w:rFonts w:ascii="Arial" w:hAnsi="Arial" w:hint="default"/>
      </w:rPr>
    </w:lvl>
    <w:lvl w:ilvl="7" w:tplc="B5B0A8C6" w:tentative="1">
      <w:start w:val="1"/>
      <w:numFmt w:val="bullet"/>
      <w:lvlText w:val="•"/>
      <w:lvlJc w:val="left"/>
      <w:pPr>
        <w:tabs>
          <w:tab w:val="num" w:pos="5760"/>
        </w:tabs>
        <w:ind w:left="5760" w:hanging="360"/>
      </w:pPr>
      <w:rPr>
        <w:rFonts w:ascii="Arial" w:hAnsi="Arial" w:hint="default"/>
      </w:rPr>
    </w:lvl>
    <w:lvl w:ilvl="8" w:tplc="50E00C20" w:tentative="1">
      <w:start w:val="1"/>
      <w:numFmt w:val="bullet"/>
      <w:lvlText w:val="•"/>
      <w:lvlJc w:val="left"/>
      <w:pPr>
        <w:tabs>
          <w:tab w:val="num" w:pos="6480"/>
        </w:tabs>
        <w:ind w:left="6480" w:hanging="360"/>
      </w:pPr>
      <w:rPr>
        <w:rFonts w:ascii="Arial" w:hAnsi="Arial" w:hint="default"/>
      </w:rPr>
    </w:lvl>
  </w:abstractNum>
  <w:abstractNum w:abstractNumId="5">
    <w:nsid w:val="320238D0"/>
    <w:multiLevelType w:val="hybridMultilevel"/>
    <w:tmpl w:val="A83C8F16"/>
    <w:lvl w:ilvl="0" w:tplc="041F0001">
      <w:start w:val="1"/>
      <w:numFmt w:val="bullet"/>
      <w:lvlText w:val=""/>
      <w:lvlJc w:val="left"/>
      <w:pPr>
        <w:ind w:left="1060" w:hanging="360"/>
      </w:pPr>
      <w:rPr>
        <w:rFonts w:ascii="Symbol" w:hAnsi="Symbol" w:hint="default"/>
      </w:rPr>
    </w:lvl>
    <w:lvl w:ilvl="1" w:tplc="041F0003" w:tentative="1">
      <w:start w:val="1"/>
      <w:numFmt w:val="bullet"/>
      <w:lvlText w:val="o"/>
      <w:lvlJc w:val="left"/>
      <w:pPr>
        <w:ind w:left="1780" w:hanging="360"/>
      </w:pPr>
      <w:rPr>
        <w:rFonts w:ascii="Courier New" w:hAnsi="Courier New" w:cs="Courier New" w:hint="default"/>
      </w:rPr>
    </w:lvl>
    <w:lvl w:ilvl="2" w:tplc="041F0005" w:tentative="1">
      <w:start w:val="1"/>
      <w:numFmt w:val="bullet"/>
      <w:lvlText w:val=""/>
      <w:lvlJc w:val="left"/>
      <w:pPr>
        <w:ind w:left="2500" w:hanging="360"/>
      </w:pPr>
      <w:rPr>
        <w:rFonts w:ascii="Wingdings" w:hAnsi="Wingdings" w:hint="default"/>
      </w:rPr>
    </w:lvl>
    <w:lvl w:ilvl="3" w:tplc="041F0001" w:tentative="1">
      <w:start w:val="1"/>
      <w:numFmt w:val="bullet"/>
      <w:lvlText w:val=""/>
      <w:lvlJc w:val="left"/>
      <w:pPr>
        <w:ind w:left="3220" w:hanging="360"/>
      </w:pPr>
      <w:rPr>
        <w:rFonts w:ascii="Symbol" w:hAnsi="Symbol" w:hint="default"/>
      </w:rPr>
    </w:lvl>
    <w:lvl w:ilvl="4" w:tplc="041F0003" w:tentative="1">
      <w:start w:val="1"/>
      <w:numFmt w:val="bullet"/>
      <w:lvlText w:val="o"/>
      <w:lvlJc w:val="left"/>
      <w:pPr>
        <w:ind w:left="3940" w:hanging="360"/>
      </w:pPr>
      <w:rPr>
        <w:rFonts w:ascii="Courier New" w:hAnsi="Courier New" w:cs="Courier New" w:hint="default"/>
      </w:rPr>
    </w:lvl>
    <w:lvl w:ilvl="5" w:tplc="041F0005" w:tentative="1">
      <w:start w:val="1"/>
      <w:numFmt w:val="bullet"/>
      <w:lvlText w:val=""/>
      <w:lvlJc w:val="left"/>
      <w:pPr>
        <w:ind w:left="4660" w:hanging="360"/>
      </w:pPr>
      <w:rPr>
        <w:rFonts w:ascii="Wingdings" w:hAnsi="Wingdings" w:hint="default"/>
      </w:rPr>
    </w:lvl>
    <w:lvl w:ilvl="6" w:tplc="041F0001" w:tentative="1">
      <w:start w:val="1"/>
      <w:numFmt w:val="bullet"/>
      <w:lvlText w:val=""/>
      <w:lvlJc w:val="left"/>
      <w:pPr>
        <w:ind w:left="5380" w:hanging="360"/>
      </w:pPr>
      <w:rPr>
        <w:rFonts w:ascii="Symbol" w:hAnsi="Symbol" w:hint="default"/>
      </w:rPr>
    </w:lvl>
    <w:lvl w:ilvl="7" w:tplc="041F0003" w:tentative="1">
      <w:start w:val="1"/>
      <w:numFmt w:val="bullet"/>
      <w:lvlText w:val="o"/>
      <w:lvlJc w:val="left"/>
      <w:pPr>
        <w:ind w:left="6100" w:hanging="360"/>
      </w:pPr>
      <w:rPr>
        <w:rFonts w:ascii="Courier New" w:hAnsi="Courier New" w:cs="Courier New" w:hint="default"/>
      </w:rPr>
    </w:lvl>
    <w:lvl w:ilvl="8" w:tplc="041F0005" w:tentative="1">
      <w:start w:val="1"/>
      <w:numFmt w:val="bullet"/>
      <w:lvlText w:val=""/>
      <w:lvlJc w:val="left"/>
      <w:pPr>
        <w:ind w:left="6820" w:hanging="360"/>
      </w:pPr>
      <w:rPr>
        <w:rFonts w:ascii="Wingdings" w:hAnsi="Wingdings" w:hint="default"/>
      </w:rPr>
    </w:lvl>
  </w:abstractNum>
  <w:abstractNum w:abstractNumId="6">
    <w:nsid w:val="32A946C0"/>
    <w:multiLevelType w:val="hybridMultilevel"/>
    <w:tmpl w:val="E968F3FC"/>
    <w:lvl w:ilvl="0" w:tplc="041F0001">
      <w:start w:val="1"/>
      <w:numFmt w:val="bullet"/>
      <w:lvlText w:val=""/>
      <w:lvlJc w:val="left"/>
      <w:pPr>
        <w:ind w:left="1724" w:hanging="360"/>
      </w:pPr>
      <w:rPr>
        <w:rFonts w:ascii="Symbol" w:hAnsi="Symbol" w:hint="default"/>
      </w:rPr>
    </w:lvl>
    <w:lvl w:ilvl="1" w:tplc="041F0003" w:tentative="1">
      <w:start w:val="1"/>
      <w:numFmt w:val="bullet"/>
      <w:lvlText w:val="o"/>
      <w:lvlJc w:val="left"/>
      <w:pPr>
        <w:ind w:left="2444" w:hanging="360"/>
      </w:pPr>
      <w:rPr>
        <w:rFonts w:ascii="Courier New" w:hAnsi="Courier New" w:cs="Courier New" w:hint="default"/>
      </w:rPr>
    </w:lvl>
    <w:lvl w:ilvl="2" w:tplc="041F0005" w:tentative="1">
      <w:start w:val="1"/>
      <w:numFmt w:val="bullet"/>
      <w:lvlText w:val=""/>
      <w:lvlJc w:val="left"/>
      <w:pPr>
        <w:ind w:left="3164" w:hanging="360"/>
      </w:pPr>
      <w:rPr>
        <w:rFonts w:ascii="Wingdings" w:hAnsi="Wingdings" w:hint="default"/>
      </w:rPr>
    </w:lvl>
    <w:lvl w:ilvl="3" w:tplc="041F0001" w:tentative="1">
      <w:start w:val="1"/>
      <w:numFmt w:val="bullet"/>
      <w:lvlText w:val=""/>
      <w:lvlJc w:val="left"/>
      <w:pPr>
        <w:ind w:left="3884" w:hanging="360"/>
      </w:pPr>
      <w:rPr>
        <w:rFonts w:ascii="Symbol" w:hAnsi="Symbol" w:hint="default"/>
      </w:rPr>
    </w:lvl>
    <w:lvl w:ilvl="4" w:tplc="041F0003" w:tentative="1">
      <w:start w:val="1"/>
      <w:numFmt w:val="bullet"/>
      <w:lvlText w:val="o"/>
      <w:lvlJc w:val="left"/>
      <w:pPr>
        <w:ind w:left="4604" w:hanging="360"/>
      </w:pPr>
      <w:rPr>
        <w:rFonts w:ascii="Courier New" w:hAnsi="Courier New" w:cs="Courier New" w:hint="default"/>
      </w:rPr>
    </w:lvl>
    <w:lvl w:ilvl="5" w:tplc="041F0005" w:tentative="1">
      <w:start w:val="1"/>
      <w:numFmt w:val="bullet"/>
      <w:lvlText w:val=""/>
      <w:lvlJc w:val="left"/>
      <w:pPr>
        <w:ind w:left="5324" w:hanging="360"/>
      </w:pPr>
      <w:rPr>
        <w:rFonts w:ascii="Wingdings" w:hAnsi="Wingdings" w:hint="default"/>
      </w:rPr>
    </w:lvl>
    <w:lvl w:ilvl="6" w:tplc="041F0001" w:tentative="1">
      <w:start w:val="1"/>
      <w:numFmt w:val="bullet"/>
      <w:lvlText w:val=""/>
      <w:lvlJc w:val="left"/>
      <w:pPr>
        <w:ind w:left="6044" w:hanging="360"/>
      </w:pPr>
      <w:rPr>
        <w:rFonts w:ascii="Symbol" w:hAnsi="Symbol" w:hint="default"/>
      </w:rPr>
    </w:lvl>
    <w:lvl w:ilvl="7" w:tplc="041F0003" w:tentative="1">
      <w:start w:val="1"/>
      <w:numFmt w:val="bullet"/>
      <w:lvlText w:val="o"/>
      <w:lvlJc w:val="left"/>
      <w:pPr>
        <w:ind w:left="6764" w:hanging="360"/>
      </w:pPr>
      <w:rPr>
        <w:rFonts w:ascii="Courier New" w:hAnsi="Courier New" w:cs="Courier New" w:hint="default"/>
      </w:rPr>
    </w:lvl>
    <w:lvl w:ilvl="8" w:tplc="041F0005" w:tentative="1">
      <w:start w:val="1"/>
      <w:numFmt w:val="bullet"/>
      <w:lvlText w:val=""/>
      <w:lvlJc w:val="left"/>
      <w:pPr>
        <w:ind w:left="7484" w:hanging="360"/>
      </w:pPr>
      <w:rPr>
        <w:rFonts w:ascii="Wingdings" w:hAnsi="Wingdings" w:hint="default"/>
      </w:rPr>
    </w:lvl>
  </w:abstractNum>
  <w:abstractNum w:abstractNumId="7">
    <w:nsid w:val="49CB3F5D"/>
    <w:multiLevelType w:val="hybridMultilevel"/>
    <w:tmpl w:val="9128543C"/>
    <w:lvl w:ilvl="0" w:tplc="7042F020">
      <w:start w:val="3"/>
      <w:numFmt w:val="upperRoman"/>
      <w:lvlText w:val="%1-"/>
      <w:lvlJc w:val="left"/>
      <w:pPr>
        <w:ind w:left="1004" w:hanging="72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8">
    <w:nsid w:val="4CAA4816"/>
    <w:multiLevelType w:val="hybridMultilevel"/>
    <w:tmpl w:val="9128543C"/>
    <w:lvl w:ilvl="0" w:tplc="7042F020">
      <w:start w:val="3"/>
      <w:numFmt w:val="upperRoman"/>
      <w:lvlText w:val="%1-"/>
      <w:lvlJc w:val="left"/>
      <w:pPr>
        <w:ind w:left="1004" w:hanging="72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9">
    <w:nsid w:val="56874109"/>
    <w:multiLevelType w:val="hybridMultilevel"/>
    <w:tmpl w:val="456210B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61C34084"/>
    <w:multiLevelType w:val="hybridMultilevel"/>
    <w:tmpl w:val="E4148A16"/>
    <w:lvl w:ilvl="0" w:tplc="7668CEE6">
      <w:start w:val="1"/>
      <w:numFmt w:val="decimal"/>
      <w:lvlText w:val="%1."/>
      <w:lvlJc w:val="left"/>
      <w:pPr>
        <w:ind w:left="1364" w:hanging="360"/>
      </w:pPr>
      <w:rPr>
        <w:rFonts w:hint="default"/>
      </w:rPr>
    </w:lvl>
    <w:lvl w:ilvl="1" w:tplc="041F0019" w:tentative="1">
      <w:start w:val="1"/>
      <w:numFmt w:val="lowerLetter"/>
      <w:lvlText w:val="%2."/>
      <w:lvlJc w:val="left"/>
      <w:pPr>
        <w:ind w:left="2084" w:hanging="360"/>
      </w:pPr>
    </w:lvl>
    <w:lvl w:ilvl="2" w:tplc="041F001B" w:tentative="1">
      <w:start w:val="1"/>
      <w:numFmt w:val="lowerRoman"/>
      <w:lvlText w:val="%3."/>
      <w:lvlJc w:val="right"/>
      <w:pPr>
        <w:ind w:left="2804" w:hanging="180"/>
      </w:pPr>
    </w:lvl>
    <w:lvl w:ilvl="3" w:tplc="041F000F" w:tentative="1">
      <w:start w:val="1"/>
      <w:numFmt w:val="decimal"/>
      <w:lvlText w:val="%4."/>
      <w:lvlJc w:val="left"/>
      <w:pPr>
        <w:ind w:left="3524" w:hanging="360"/>
      </w:pPr>
    </w:lvl>
    <w:lvl w:ilvl="4" w:tplc="041F0019" w:tentative="1">
      <w:start w:val="1"/>
      <w:numFmt w:val="lowerLetter"/>
      <w:lvlText w:val="%5."/>
      <w:lvlJc w:val="left"/>
      <w:pPr>
        <w:ind w:left="4244" w:hanging="360"/>
      </w:pPr>
    </w:lvl>
    <w:lvl w:ilvl="5" w:tplc="041F001B" w:tentative="1">
      <w:start w:val="1"/>
      <w:numFmt w:val="lowerRoman"/>
      <w:lvlText w:val="%6."/>
      <w:lvlJc w:val="right"/>
      <w:pPr>
        <w:ind w:left="4964" w:hanging="180"/>
      </w:pPr>
    </w:lvl>
    <w:lvl w:ilvl="6" w:tplc="041F000F" w:tentative="1">
      <w:start w:val="1"/>
      <w:numFmt w:val="decimal"/>
      <w:lvlText w:val="%7."/>
      <w:lvlJc w:val="left"/>
      <w:pPr>
        <w:ind w:left="5684" w:hanging="360"/>
      </w:pPr>
    </w:lvl>
    <w:lvl w:ilvl="7" w:tplc="041F0019" w:tentative="1">
      <w:start w:val="1"/>
      <w:numFmt w:val="lowerLetter"/>
      <w:lvlText w:val="%8."/>
      <w:lvlJc w:val="left"/>
      <w:pPr>
        <w:ind w:left="6404" w:hanging="360"/>
      </w:pPr>
    </w:lvl>
    <w:lvl w:ilvl="8" w:tplc="041F001B" w:tentative="1">
      <w:start w:val="1"/>
      <w:numFmt w:val="lowerRoman"/>
      <w:lvlText w:val="%9."/>
      <w:lvlJc w:val="right"/>
      <w:pPr>
        <w:ind w:left="7124" w:hanging="180"/>
      </w:pPr>
    </w:lvl>
  </w:abstractNum>
  <w:abstractNum w:abstractNumId="11">
    <w:nsid w:val="7B4A170F"/>
    <w:multiLevelType w:val="hybridMultilevel"/>
    <w:tmpl w:val="4F6EC53A"/>
    <w:lvl w:ilvl="0" w:tplc="65422DDA">
      <w:start w:val="2"/>
      <w:numFmt w:val="upperLetter"/>
      <w:lvlText w:val="%1."/>
      <w:lvlJc w:val="left"/>
      <w:pPr>
        <w:ind w:left="900" w:hanging="360"/>
      </w:pPr>
      <w:rPr>
        <w:rFonts w:hint="default"/>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12">
    <w:nsid w:val="7C8B466E"/>
    <w:multiLevelType w:val="hybridMultilevel"/>
    <w:tmpl w:val="74B6DA56"/>
    <w:lvl w:ilvl="0" w:tplc="7668CEE6">
      <w:start w:val="1"/>
      <w:numFmt w:val="decimal"/>
      <w:lvlText w:val="%1."/>
      <w:lvlJc w:val="left"/>
      <w:pPr>
        <w:ind w:left="928" w:hanging="360"/>
      </w:pPr>
      <w:rPr>
        <w:rFonts w:hint="default"/>
      </w:rPr>
    </w:lvl>
    <w:lvl w:ilvl="1" w:tplc="041F0019" w:tentative="1">
      <w:start w:val="1"/>
      <w:numFmt w:val="lowerLetter"/>
      <w:lvlText w:val="%2."/>
      <w:lvlJc w:val="left"/>
      <w:pPr>
        <w:ind w:left="1004" w:hanging="360"/>
      </w:pPr>
    </w:lvl>
    <w:lvl w:ilvl="2" w:tplc="041F001B" w:tentative="1">
      <w:start w:val="1"/>
      <w:numFmt w:val="lowerRoman"/>
      <w:lvlText w:val="%3."/>
      <w:lvlJc w:val="right"/>
      <w:pPr>
        <w:ind w:left="1724" w:hanging="180"/>
      </w:pPr>
    </w:lvl>
    <w:lvl w:ilvl="3" w:tplc="041F000F" w:tentative="1">
      <w:start w:val="1"/>
      <w:numFmt w:val="decimal"/>
      <w:lvlText w:val="%4."/>
      <w:lvlJc w:val="left"/>
      <w:pPr>
        <w:ind w:left="2444" w:hanging="360"/>
      </w:pPr>
    </w:lvl>
    <w:lvl w:ilvl="4" w:tplc="041F0019" w:tentative="1">
      <w:start w:val="1"/>
      <w:numFmt w:val="lowerLetter"/>
      <w:lvlText w:val="%5."/>
      <w:lvlJc w:val="left"/>
      <w:pPr>
        <w:ind w:left="3164" w:hanging="360"/>
      </w:pPr>
    </w:lvl>
    <w:lvl w:ilvl="5" w:tplc="041F001B" w:tentative="1">
      <w:start w:val="1"/>
      <w:numFmt w:val="lowerRoman"/>
      <w:lvlText w:val="%6."/>
      <w:lvlJc w:val="right"/>
      <w:pPr>
        <w:ind w:left="3884" w:hanging="180"/>
      </w:pPr>
    </w:lvl>
    <w:lvl w:ilvl="6" w:tplc="041F000F" w:tentative="1">
      <w:start w:val="1"/>
      <w:numFmt w:val="decimal"/>
      <w:lvlText w:val="%7."/>
      <w:lvlJc w:val="left"/>
      <w:pPr>
        <w:ind w:left="4604" w:hanging="360"/>
      </w:pPr>
    </w:lvl>
    <w:lvl w:ilvl="7" w:tplc="041F0019" w:tentative="1">
      <w:start w:val="1"/>
      <w:numFmt w:val="lowerLetter"/>
      <w:lvlText w:val="%8."/>
      <w:lvlJc w:val="left"/>
      <w:pPr>
        <w:ind w:left="5324" w:hanging="360"/>
      </w:pPr>
    </w:lvl>
    <w:lvl w:ilvl="8" w:tplc="041F001B" w:tentative="1">
      <w:start w:val="1"/>
      <w:numFmt w:val="lowerRoman"/>
      <w:lvlText w:val="%9."/>
      <w:lvlJc w:val="right"/>
      <w:pPr>
        <w:ind w:left="6044" w:hanging="180"/>
      </w:pPr>
    </w:lvl>
  </w:abstractNum>
  <w:num w:numId="1">
    <w:abstractNumId w:val="2"/>
  </w:num>
  <w:num w:numId="2">
    <w:abstractNumId w:val="0"/>
  </w:num>
  <w:num w:numId="3">
    <w:abstractNumId w:val="11"/>
  </w:num>
  <w:num w:numId="4">
    <w:abstractNumId w:val="7"/>
  </w:num>
  <w:num w:numId="5">
    <w:abstractNumId w:val="8"/>
  </w:num>
  <w:num w:numId="6">
    <w:abstractNumId w:val="3"/>
  </w:num>
  <w:num w:numId="7">
    <w:abstractNumId w:val="9"/>
  </w:num>
  <w:num w:numId="8">
    <w:abstractNumId w:val="5"/>
  </w:num>
  <w:num w:numId="9">
    <w:abstractNumId w:val="4"/>
  </w:num>
  <w:num w:numId="10">
    <w:abstractNumId w:val="1"/>
  </w:num>
  <w:num w:numId="11">
    <w:abstractNumId w:val="6"/>
  </w:num>
  <w:num w:numId="12">
    <w:abstractNumId w:val="10"/>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9A74F0"/>
    <w:rsid w:val="00004BA4"/>
    <w:rsid w:val="0001068C"/>
    <w:rsid w:val="00012D3A"/>
    <w:rsid w:val="00017086"/>
    <w:rsid w:val="000172C6"/>
    <w:rsid w:val="00041207"/>
    <w:rsid w:val="00042218"/>
    <w:rsid w:val="000544D9"/>
    <w:rsid w:val="000600AB"/>
    <w:rsid w:val="00063E43"/>
    <w:rsid w:val="00065889"/>
    <w:rsid w:val="00075EE4"/>
    <w:rsid w:val="00080900"/>
    <w:rsid w:val="00082290"/>
    <w:rsid w:val="000855B2"/>
    <w:rsid w:val="000A1618"/>
    <w:rsid w:val="000D5776"/>
    <w:rsid w:val="000D6387"/>
    <w:rsid w:val="000E78A3"/>
    <w:rsid w:val="00111BFC"/>
    <w:rsid w:val="00135A46"/>
    <w:rsid w:val="00144478"/>
    <w:rsid w:val="00154644"/>
    <w:rsid w:val="00155E51"/>
    <w:rsid w:val="001666E4"/>
    <w:rsid w:val="0017513D"/>
    <w:rsid w:val="00180120"/>
    <w:rsid w:val="00181A21"/>
    <w:rsid w:val="001841BF"/>
    <w:rsid w:val="00195211"/>
    <w:rsid w:val="001973C3"/>
    <w:rsid w:val="001A1AD2"/>
    <w:rsid w:val="001A3E36"/>
    <w:rsid w:val="001B06F4"/>
    <w:rsid w:val="001B5202"/>
    <w:rsid w:val="001D0E72"/>
    <w:rsid w:val="001E6EE3"/>
    <w:rsid w:val="001E7C37"/>
    <w:rsid w:val="001F46F0"/>
    <w:rsid w:val="00204EF5"/>
    <w:rsid w:val="00210805"/>
    <w:rsid w:val="00233FB4"/>
    <w:rsid w:val="00236200"/>
    <w:rsid w:val="00251FAF"/>
    <w:rsid w:val="00254147"/>
    <w:rsid w:val="0025764F"/>
    <w:rsid w:val="002616CF"/>
    <w:rsid w:val="0026461E"/>
    <w:rsid w:val="00271604"/>
    <w:rsid w:val="00287877"/>
    <w:rsid w:val="002A0D15"/>
    <w:rsid w:val="002C38CE"/>
    <w:rsid w:val="002D1A34"/>
    <w:rsid w:val="002E1D65"/>
    <w:rsid w:val="002E48D2"/>
    <w:rsid w:val="002E4ABE"/>
    <w:rsid w:val="002E52BE"/>
    <w:rsid w:val="002F0129"/>
    <w:rsid w:val="00302A64"/>
    <w:rsid w:val="00320F21"/>
    <w:rsid w:val="00325A6C"/>
    <w:rsid w:val="0033737C"/>
    <w:rsid w:val="00344C16"/>
    <w:rsid w:val="003466D9"/>
    <w:rsid w:val="00346A11"/>
    <w:rsid w:val="003503BE"/>
    <w:rsid w:val="003526E7"/>
    <w:rsid w:val="00355133"/>
    <w:rsid w:val="00360217"/>
    <w:rsid w:val="00381D57"/>
    <w:rsid w:val="00384D9A"/>
    <w:rsid w:val="00387E91"/>
    <w:rsid w:val="003A2E0F"/>
    <w:rsid w:val="003B0A6F"/>
    <w:rsid w:val="003C152F"/>
    <w:rsid w:val="003D11D4"/>
    <w:rsid w:val="003D4B2D"/>
    <w:rsid w:val="003E0AC9"/>
    <w:rsid w:val="003E3517"/>
    <w:rsid w:val="003F3D68"/>
    <w:rsid w:val="003F533E"/>
    <w:rsid w:val="00410893"/>
    <w:rsid w:val="00426B2C"/>
    <w:rsid w:val="00435867"/>
    <w:rsid w:val="004448F3"/>
    <w:rsid w:val="00464D14"/>
    <w:rsid w:val="004732EC"/>
    <w:rsid w:val="0048342A"/>
    <w:rsid w:val="004A223D"/>
    <w:rsid w:val="004B1F4E"/>
    <w:rsid w:val="004B38DB"/>
    <w:rsid w:val="004C44FF"/>
    <w:rsid w:val="004C72E6"/>
    <w:rsid w:val="004D3BCF"/>
    <w:rsid w:val="004D4781"/>
    <w:rsid w:val="004E1788"/>
    <w:rsid w:val="004F0105"/>
    <w:rsid w:val="004F514B"/>
    <w:rsid w:val="005057F5"/>
    <w:rsid w:val="00522E0C"/>
    <w:rsid w:val="005541B6"/>
    <w:rsid w:val="00562D90"/>
    <w:rsid w:val="00564842"/>
    <w:rsid w:val="00572627"/>
    <w:rsid w:val="00591B38"/>
    <w:rsid w:val="00591DC8"/>
    <w:rsid w:val="0059246A"/>
    <w:rsid w:val="005957A3"/>
    <w:rsid w:val="005C1784"/>
    <w:rsid w:val="005C612E"/>
    <w:rsid w:val="005D1386"/>
    <w:rsid w:val="005D47DD"/>
    <w:rsid w:val="005E5C82"/>
    <w:rsid w:val="005E7716"/>
    <w:rsid w:val="005F4FA8"/>
    <w:rsid w:val="0061249D"/>
    <w:rsid w:val="00625B8F"/>
    <w:rsid w:val="006309DA"/>
    <w:rsid w:val="00656BC1"/>
    <w:rsid w:val="00671F19"/>
    <w:rsid w:val="00674BE8"/>
    <w:rsid w:val="00676094"/>
    <w:rsid w:val="00677251"/>
    <w:rsid w:val="00687A65"/>
    <w:rsid w:val="00690804"/>
    <w:rsid w:val="00693AE7"/>
    <w:rsid w:val="006A143A"/>
    <w:rsid w:val="006A2FA3"/>
    <w:rsid w:val="006A3171"/>
    <w:rsid w:val="006B05C2"/>
    <w:rsid w:val="006B529A"/>
    <w:rsid w:val="006B771A"/>
    <w:rsid w:val="006D052E"/>
    <w:rsid w:val="006D2E88"/>
    <w:rsid w:val="006D6D82"/>
    <w:rsid w:val="006F24FF"/>
    <w:rsid w:val="006F3049"/>
    <w:rsid w:val="006F33A4"/>
    <w:rsid w:val="006F4CD8"/>
    <w:rsid w:val="006F7635"/>
    <w:rsid w:val="006F7EB7"/>
    <w:rsid w:val="00705E9E"/>
    <w:rsid w:val="0071573D"/>
    <w:rsid w:val="00717568"/>
    <w:rsid w:val="00732183"/>
    <w:rsid w:val="00734C32"/>
    <w:rsid w:val="00747A4F"/>
    <w:rsid w:val="0075310B"/>
    <w:rsid w:val="00756C19"/>
    <w:rsid w:val="00760A80"/>
    <w:rsid w:val="00771231"/>
    <w:rsid w:val="007777B0"/>
    <w:rsid w:val="00785CE2"/>
    <w:rsid w:val="00787525"/>
    <w:rsid w:val="00792506"/>
    <w:rsid w:val="00797C64"/>
    <w:rsid w:val="007A0900"/>
    <w:rsid w:val="007B0246"/>
    <w:rsid w:val="007B547A"/>
    <w:rsid w:val="007B7536"/>
    <w:rsid w:val="007B7944"/>
    <w:rsid w:val="007C5CFC"/>
    <w:rsid w:val="007D13A4"/>
    <w:rsid w:val="007D7E89"/>
    <w:rsid w:val="007E51D1"/>
    <w:rsid w:val="007E6862"/>
    <w:rsid w:val="00803A91"/>
    <w:rsid w:val="00823C01"/>
    <w:rsid w:val="0082646F"/>
    <w:rsid w:val="00832B10"/>
    <w:rsid w:val="00840057"/>
    <w:rsid w:val="00850E3F"/>
    <w:rsid w:val="00853CCC"/>
    <w:rsid w:val="0086023B"/>
    <w:rsid w:val="00867783"/>
    <w:rsid w:val="0087075F"/>
    <w:rsid w:val="00872CD7"/>
    <w:rsid w:val="008740E9"/>
    <w:rsid w:val="00885C2B"/>
    <w:rsid w:val="0088762B"/>
    <w:rsid w:val="0089084D"/>
    <w:rsid w:val="00890DD1"/>
    <w:rsid w:val="008B1D07"/>
    <w:rsid w:val="008B2511"/>
    <w:rsid w:val="008C1EA4"/>
    <w:rsid w:val="008C4248"/>
    <w:rsid w:val="008C7536"/>
    <w:rsid w:val="008C7F92"/>
    <w:rsid w:val="008D3403"/>
    <w:rsid w:val="008E3CA8"/>
    <w:rsid w:val="0091078F"/>
    <w:rsid w:val="00910D2F"/>
    <w:rsid w:val="00921898"/>
    <w:rsid w:val="00922579"/>
    <w:rsid w:val="009434FB"/>
    <w:rsid w:val="00950AAD"/>
    <w:rsid w:val="009547FF"/>
    <w:rsid w:val="00961E9B"/>
    <w:rsid w:val="00984C97"/>
    <w:rsid w:val="00992474"/>
    <w:rsid w:val="009A74F0"/>
    <w:rsid w:val="009B05E8"/>
    <w:rsid w:val="009B43B4"/>
    <w:rsid w:val="009B578F"/>
    <w:rsid w:val="009D000A"/>
    <w:rsid w:val="009D0021"/>
    <w:rsid w:val="009D1331"/>
    <w:rsid w:val="009D506A"/>
    <w:rsid w:val="009D5206"/>
    <w:rsid w:val="00A232AA"/>
    <w:rsid w:val="00A24E89"/>
    <w:rsid w:val="00A4013A"/>
    <w:rsid w:val="00A510FB"/>
    <w:rsid w:val="00A626FF"/>
    <w:rsid w:val="00A744AD"/>
    <w:rsid w:val="00A80767"/>
    <w:rsid w:val="00A842BE"/>
    <w:rsid w:val="00A86EDC"/>
    <w:rsid w:val="00A95C8F"/>
    <w:rsid w:val="00AA335D"/>
    <w:rsid w:val="00AA417E"/>
    <w:rsid w:val="00AB5AEC"/>
    <w:rsid w:val="00AC2FA9"/>
    <w:rsid w:val="00AD758A"/>
    <w:rsid w:val="00AE6162"/>
    <w:rsid w:val="00B033EC"/>
    <w:rsid w:val="00B1279F"/>
    <w:rsid w:val="00B155B6"/>
    <w:rsid w:val="00B222EA"/>
    <w:rsid w:val="00B30F78"/>
    <w:rsid w:val="00B5054E"/>
    <w:rsid w:val="00B50FB4"/>
    <w:rsid w:val="00B72B0D"/>
    <w:rsid w:val="00B72CD9"/>
    <w:rsid w:val="00B75086"/>
    <w:rsid w:val="00B80692"/>
    <w:rsid w:val="00BA4955"/>
    <w:rsid w:val="00BA632D"/>
    <w:rsid w:val="00BB125E"/>
    <w:rsid w:val="00BD2E08"/>
    <w:rsid w:val="00BF5AF9"/>
    <w:rsid w:val="00C0003A"/>
    <w:rsid w:val="00C00D38"/>
    <w:rsid w:val="00C01602"/>
    <w:rsid w:val="00C05A15"/>
    <w:rsid w:val="00C3227F"/>
    <w:rsid w:val="00C35982"/>
    <w:rsid w:val="00C422DF"/>
    <w:rsid w:val="00C510A7"/>
    <w:rsid w:val="00C52A73"/>
    <w:rsid w:val="00C536E9"/>
    <w:rsid w:val="00C6216C"/>
    <w:rsid w:val="00C817E4"/>
    <w:rsid w:val="00C91F85"/>
    <w:rsid w:val="00CC4FAD"/>
    <w:rsid w:val="00CC6CD2"/>
    <w:rsid w:val="00CD0BD9"/>
    <w:rsid w:val="00CD35EA"/>
    <w:rsid w:val="00CD5A27"/>
    <w:rsid w:val="00CF6890"/>
    <w:rsid w:val="00D024C0"/>
    <w:rsid w:val="00D23052"/>
    <w:rsid w:val="00D2309C"/>
    <w:rsid w:val="00D379CD"/>
    <w:rsid w:val="00D550BF"/>
    <w:rsid w:val="00D71E0B"/>
    <w:rsid w:val="00D76098"/>
    <w:rsid w:val="00D83CA4"/>
    <w:rsid w:val="00D866D4"/>
    <w:rsid w:val="00D87D75"/>
    <w:rsid w:val="00D9255E"/>
    <w:rsid w:val="00DC1C1D"/>
    <w:rsid w:val="00DF4FE2"/>
    <w:rsid w:val="00E03F4A"/>
    <w:rsid w:val="00E1231D"/>
    <w:rsid w:val="00E20FE5"/>
    <w:rsid w:val="00E4753F"/>
    <w:rsid w:val="00E669A0"/>
    <w:rsid w:val="00E67545"/>
    <w:rsid w:val="00E70D64"/>
    <w:rsid w:val="00E71EED"/>
    <w:rsid w:val="00E822C1"/>
    <w:rsid w:val="00E92856"/>
    <w:rsid w:val="00EB0534"/>
    <w:rsid w:val="00EC089C"/>
    <w:rsid w:val="00EC7411"/>
    <w:rsid w:val="00ED41D4"/>
    <w:rsid w:val="00EE0C53"/>
    <w:rsid w:val="00EE3C9B"/>
    <w:rsid w:val="00EF5436"/>
    <w:rsid w:val="00F0615B"/>
    <w:rsid w:val="00F06AF8"/>
    <w:rsid w:val="00F12CEA"/>
    <w:rsid w:val="00F16313"/>
    <w:rsid w:val="00F21CF6"/>
    <w:rsid w:val="00F4047E"/>
    <w:rsid w:val="00F40A01"/>
    <w:rsid w:val="00F80379"/>
    <w:rsid w:val="00F83E9D"/>
    <w:rsid w:val="00F86A40"/>
    <w:rsid w:val="00F90546"/>
    <w:rsid w:val="00FA6CD8"/>
    <w:rsid w:val="00FD157F"/>
    <w:rsid w:val="00FD4C3E"/>
    <w:rsid w:val="00FE7C01"/>
    <w:rsid w:val="00FF674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74F0"/>
    <w:rPr>
      <w:sz w:val="24"/>
      <w:szCs w:val="24"/>
    </w:rPr>
  </w:style>
  <w:style w:type="paragraph" w:styleId="Balk1">
    <w:name w:val="heading 1"/>
    <w:basedOn w:val="Normal"/>
    <w:next w:val="Normal"/>
    <w:qFormat/>
    <w:rsid w:val="00E67545"/>
    <w:pPr>
      <w:keepNext/>
      <w:spacing w:before="240" w:after="60"/>
      <w:outlineLvl w:val="0"/>
    </w:pPr>
    <w:rPr>
      <w:rFonts w:ascii="Arial" w:hAnsi="Arial" w:cs="Arial"/>
      <w:b/>
      <w:bCs/>
      <w:kern w:val="32"/>
      <w:sz w:val="32"/>
      <w:szCs w:val="32"/>
    </w:rPr>
  </w:style>
  <w:style w:type="paragraph" w:styleId="Balk2">
    <w:name w:val="heading 2"/>
    <w:basedOn w:val="Normal"/>
    <w:next w:val="Normal"/>
    <w:qFormat/>
    <w:rsid w:val="00E67545"/>
    <w:pPr>
      <w:keepNext/>
      <w:spacing w:before="240" w:after="60"/>
      <w:outlineLvl w:val="1"/>
    </w:pPr>
    <w:rPr>
      <w:rFonts w:ascii="Arial" w:hAnsi="Arial" w:cs="Arial"/>
      <w:b/>
      <w:bCs/>
      <w:i/>
      <w:i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Char">
    <w:name w:val="Char"/>
    <w:basedOn w:val="Normal"/>
    <w:rsid w:val="00C05A15"/>
    <w:pPr>
      <w:spacing w:after="160" w:line="240" w:lineRule="exact"/>
    </w:pPr>
    <w:rPr>
      <w:sz w:val="20"/>
      <w:szCs w:val="20"/>
      <w:lang w:val="de-DE"/>
    </w:rPr>
  </w:style>
  <w:style w:type="paragraph" w:customStyle="1" w:styleId="TitleCover">
    <w:name w:val="Title Cover"/>
    <w:basedOn w:val="Normal"/>
    <w:next w:val="Normal"/>
    <w:rsid w:val="00C05A15"/>
    <w:pPr>
      <w:keepNext/>
      <w:keepLines/>
      <w:spacing w:before="1800" w:line="240" w:lineRule="atLeast"/>
      <w:ind w:left="1080"/>
    </w:pPr>
    <w:rPr>
      <w:rFonts w:ascii="Arial" w:hAnsi="Arial"/>
      <w:b/>
      <w:spacing w:val="-48"/>
      <w:kern w:val="28"/>
      <w:sz w:val="72"/>
      <w:szCs w:val="20"/>
      <w:lang w:val="en-US" w:eastAsia="en-US"/>
    </w:rPr>
  </w:style>
  <w:style w:type="paragraph" w:customStyle="1" w:styleId="CompanyName">
    <w:name w:val="Company Name"/>
    <w:basedOn w:val="Normal"/>
    <w:rsid w:val="00C05A15"/>
    <w:pPr>
      <w:keepNext/>
      <w:keepLines/>
      <w:spacing w:line="220" w:lineRule="atLeast"/>
      <w:ind w:left="1080"/>
    </w:pPr>
    <w:rPr>
      <w:spacing w:val="-30"/>
      <w:kern w:val="28"/>
      <w:sz w:val="60"/>
      <w:szCs w:val="20"/>
      <w:lang w:val="en-US" w:eastAsia="en-US"/>
    </w:rPr>
  </w:style>
  <w:style w:type="paragraph" w:styleId="Altbilgi">
    <w:name w:val="footer"/>
    <w:basedOn w:val="Normal"/>
    <w:rsid w:val="006F7635"/>
    <w:pPr>
      <w:tabs>
        <w:tab w:val="center" w:pos="4536"/>
        <w:tab w:val="right" w:pos="9072"/>
      </w:tabs>
    </w:pPr>
  </w:style>
  <w:style w:type="character" w:styleId="SayfaNumaras">
    <w:name w:val="page number"/>
    <w:basedOn w:val="VarsaylanParagrafYazTipi"/>
    <w:rsid w:val="006F7635"/>
  </w:style>
  <w:style w:type="paragraph" w:styleId="GvdeMetni">
    <w:name w:val="Body Text"/>
    <w:basedOn w:val="Normal"/>
    <w:link w:val="GvdeMetniChar"/>
    <w:rsid w:val="00E67545"/>
    <w:rPr>
      <w:sz w:val="96"/>
      <w:szCs w:val="20"/>
    </w:rPr>
  </w:style>
  <w:style w:type="paragraph" w:customStyle="1" w:styleId="nor">
    <w:name w:val="nor"/>
    <w:basedOn w:val="Normal"/>
    <w:rsid w:val="005957A3"/>
    <w:pPr>
      <w:spacing w:before="100" w:beforeAutospacing="1" w:after="100" w:afterAutospacing="1"/>
    </w:pPr>
  </w:style>
  <w:style w:type="paragraph" w:styleId="BalonMetni">
    <w:name w:val="Balloon Text"/>
    <w:basedOn w:val="Normal"/>
    <w:link w:val="BalonMetniChar"/>
    <w:rsid w:val="006F4CD8"/>
    <w:rPr>
      <w:rFonts w:ascii="Tahoma" w:hAnsi="Tahoma" w:cs="Tahoma"/>
      <w:sz w:val="16"/>
      <w:szCs w:val="16"/>
    </w:rPr>
  </w:style>
  <w:style w:type="character" w:customStyle="1" w:styleId="BalonMetniChar">
    <w:name w:val="Balon Metni Char"/>
    <w:basedOn w:val="VarsaylanParagrafYazTipi"/>
    <w:link w:val="BalonMetni"/>
    <w:rsid w:val="006F4CD8"/>
    <w:rPr>
      <w:rFonts w:ascii="Tahoma" w:hAnsi="Tahoma" w:cs="Tahoma"/>
      <w:sz w:val="16"/>
      <w:szCs w:val="16"/>
    </w:rPr>
  </w:style>
  <w:style w:type="paragraph" w:styleId="ListeParagraf">
    <w:name w:val="List Paragraph"/>
    <w:basedOn w:val="Normal"/>
    <w:uiPriority w:val="34"/>
    <w:qFormat/>
    <w:rsid w:val="009434FB"/>
    <w:pPr>
      <w:ind w:left="720"/>
      <w:contextualSpacing/>
    </w:pPr>
  </w:style>
  <w:style w:type="character" w:customStyle="1" w:styleId="GvdeMetniChar">
    <w:name w:val="Gövde Metni Char"/>
    <w:basedOn w:val="VarsaylanParagrafYazTipi"/>
    <w:link w:val="GvdeMetni"/>
    <w:rsid w:val="00111BFC"/>
    <w:rPr>
      <w:sz w:val="96"/>
    </w:rPr>
  </w:style>
  <w:style w:type="paragraph" w:styleId="stbilgi">
    <w:name w:val="header"/>
    <w:basedOn w:val="Normal"/>
    <w:link w:val="stbilgiChar"/>
    <w:rsid w:val="0091078F"/>
    <w:pPr>
      <w:tabs>
        <w:tab w:val="center" w:pos="4536"/>
        <w:tab w:val="right" w:pos="9072"/>
      </w:tabs>
    </w:pPr>
  </w:style>
  <w:style w:type="character" w:customStyle="1" w:styleId="stbilgiChar">
    <w:name w:val="Üstbilgi Char"/>
    <w:basedOn w:val="VarsaylanParagrafYazTipi"/>
    <w:link w:val="stbilgi"/>
    <w:rsid w:val="0091078F"/>
    <w:rPr>
      <w:sz w:val="24"/>
      <w:szCs w:val="24"/>
    </w:rPr>
  </w:style>
</w:styles>
</file>

<file path=word/webSettings.xml><?xml version="1.0" encoding="utf-8"?>
<w:webSettings xmlns:r="http://schemas.openxmlformats.org/officeDocument/2006/relationships" xmlns:w="http://schemas.openxmlformats.org/wordprocessingml/2006/main">
  <w:divs>
    <w:div w:id="614751075">
      <w:bodyDiv w:val="1"/>
      <w:marLeft w:val="0"/>
      <w:marRight w:val="0"/>
      <w:marTop w:val="0"/>
      <w:marBottom w:val="0"/>
      <w:divBdr>
        <w:top w:val="none" w:sz="0" w:space="0" w:color="auto"/>
        <w:left w:val="none" w:sz="0" w:space="0" w:color="auto"/>
        <w:bottom w:val="none" w:sz="0" w:space="0" w:color="auto"/>
        <w:right w:val="none" w:sz="0" w:space="0" w:color="auto"/>
      </w:divBdr>
      <w:divsChild>
        <w:div w:id="96298533">
          <w:marLeft w:val="547"/>
          <w:marRight w:val="0"/>
          <w:marTop w:val="0"/>
          <w:marBottom w:val="0"/>
          <w:divBdr>
            <w:top w:val="none" w:sz="0" w:space="0" w:color="auto"/>
            <w:left w:val="none" w:sz="0" w:space="0" w:color="auto"/>
            <w:bottom w:val="none" w:sz="0" w:space="0" w:color="auto"/>
            <w:right w:val="none" w:sz="0" w:space="0" w:color="auto"/>
          </w:divBdr>
        </w:div>
        <w:div w:id="850484298">
          <w:marLeft w:val="547"/>
          <w:marRight w:val="0"/>
          <w:marTop w:val="0"/>
          <w:marBottom w:val="0"/>
          <w:divBdr>
            <w:top w:val="none" w:sz="0" w:space="0" w:color="auto"/>
            <w:left w:val="none" w:sz="0" w:space="0" w:color="auto"/>
            <w:bottom w:val="none" w:sz="0" w:space="0" w:color="auto"/>
            <w:right w:val="none" w:sz="0" w:space="0" w:color="auto"/>
          </w:divBdr>
        </w:div>
        <w:div w:id="1104763027">
          <w:marLeft w:val="547"/>
          <w:marRight w:val="0"/>
          <w:marTop w:val="0"/>
          <w:marBottom w:val="0"/>
          <w:divBdr>
            <w:top w:val="none" w:sz="0" w:space="0" w:color="auto"/>
            <w:left w:val="none" w:sz="0" w:space="0" w:color="auto"/>
            <w:bottom w:val="none" w:sz="0" w:space="0" w:color="auto"/>
            <w:right w:val="none" w:sz="0" w:space="0" w:color="auto"/>
          </w:divBdr>
        </w:div>
        <w:div w:id="1208833242">
          <w:marLeft w:val="547"/>
          <w:marRight w:val="0"/>
          <w:marTop w:val="0"/>
          <w:marBottom w:val="0"/>
          <w:divBdr>
            <w:top w:val="none" w:sz="0" w:space="0" w:color="auto"/>
            <w:left w:val="none" w:sz="0" w:space="0" w:color="auto"/>
            <w:bottom w:val="none" w:sz="0" w:space="0" w:color="auto"/>
            <w:right w:val="none" w:sz="0" w:space="0" w:color="auto"/>
          </w:divBdr>
        </w:div>
      </w:divsChild>
    </w:div>
    <w:div w:id="690376079">
      <w:bodyDiv w:val="1"/>
      <w:marLeft w:val="0"/>
      <w:marRight w:val="0"/>
      <w:marTop w:val="0"/>
      <w:marBottom w:val="0"/>
      <w:divBdr>
        <w:top w:val="none" w:sz="0" w:space="0" w:color="auto"/>
        <w:left w:val="none" w:sz="0" w:space="0" w:color="auto"/>
        <w:bottom w:val="none" w:sz="0" w:space="0" w:color="auto"/>
        <w:right w:val="none" w:sz="0" w:space="0" w:color="auto"/>
      </w:divBdr>
      <w:divsChild>
        <w:div w:id="1035081043">
          <w:marLeft w:val="547"/>
          <w:marRight w:val="0"/>
          <w:marTop w:val="0"/>
          <w:marBottom w:val="0"/>
          <w:divBdr>
            <w:top w:val="none" w:sz="0" w:space="0" w:color="auto"/>
            <w:left w:val="none" w:sz="0" w:space="0" w:color="auto"/>
            <w:bottom w:val="none" w:sz="0" w:space="0" w:color="auto"/>
            <w:right w:val="none" w:sz="0" w:space="0" w:color="auto"/>
          </w:divBdr>
        </w:div>
        <w:div w:id="1301767367">
          <w:marLeft w:val="547"/>
          <w:marRight w:val="0"/>
          <w:marTop w:val="0"/>
          <w:marBottom w:val="0"/>
          <w:divBdr>
            <w:top w:val="none" w:sz="0" w:space="0" w:color="auto"/>
            <w:left w:val="none" w:sz="0" w:space="0" w:color="auto"/>
            <w:bottom w:val="none" w:sz="0" w:space="0" w:color="auto"/>
            <w:right w:val="none" w:sz="0" w:space="0" w:color="auto"/>
          </w:divBdr>
        </w:div>
      </w:divsChild>
    </w:div>
    <w:div w:id="1006438433">
      <w:bodyDiv w:val="1"/>
      <w:marLeft w:val="0"/>
      <w:marRight w:val="0"/>
      <w:marTop w:val="0"/>
      <w:marBottom w:val="0"/>
      <w:divBdr>
        <w:top w:val="none" w:sz="0" w:space="0" w:color="auto"/>
        <w:left w:val="none" w:sz="0" w:space="0" w:color="auto"/>
        <w:bottom w:val="none" w:sz="0" w:space="0" w:color="auto"/>
        <w:right w:val="none" w:sz="0" w:space="0" w:color="auto"/>
      </w:divBdr>
      <w:divsChild>
        <w:div w:id="1162701776">
          <w:marLeft w:val="0"/>
          <w:marRight w:val="0"/>
          <w:marTop w:val="0"/>
          <w:marBottom w:val="0"/>
          <w:divBdr>
            <w:top w:val="none" w:sz="0" w:space="0" w:color="auto"/>
            <w:left w:val="none" w:sz="0" w:space="0" w:color="auto"/>
            <w:bottom w:val="none" w:sz="0" w:space="0" w:color="auto"/>
            <w:right w:val="none" w:sz="0" w:space="0" w:color="auto"/>
          </w:divBdr>
          <w:divsChild>
            <w:div w:id="698896378">
              <w:marLeft w:val="0"/>
              <w:marRight w:val="0"/>
              <w:marTop w:val="0"/>
              <w:marBottom w:val="0"/>
              <w:divBdr>
                <w:top w:val="none" w:sz="0" w:space="0" w:color="auto"/>
                <w:left w:val="none" w:sz="0" w:space="0" w:color="auto"/>
                <w:bottom w:val="none" w:sz="0" w:space="0" w:color="auto"/>
                <w:right w:val="none" w:sz="0" w:space="0" w:color="auto"/>
              </w:divBdr>
              <w:divsChild>
                <w:div w:id="1433279131">
                  <w:marLeft w:val="0"/>
                  <w:marRight w:val="0"/>
                  <w:marTop w:val="0"/>
                  <w:marBottom w:val="0"/>
                  <w:divBdr>
                    <w:top w:val="none" w:sz="0" w:space="0" w:color="auto"/>
                    <w:left w:val="none" w:sz="0" w:space="0" w:color="auto"/>
                    <w:bottom w:val="none" w:sz="0" w:space="0" w:color="auto"/>
                    <w:right w:val="none" w:sz="0" w:space="0" w:color="auto"/>
                  </w:divBdr>
                  <w:divsChild>
                    <w:div w:id="691417757">
                      <w:marLeft w:val="0"/>
                      <w:marRight w:val="0"/>
                      <w:marTop w:val="0"/>
                      <w:marBottom w:val="0"/>
                      <w:divBdr>
                        <w:top w:val="none" w:sz="0" w:space="0" w:color="auto"/>
                        <w:left w:val="none" w:sz="0" w:space="0" w:color="auto"/>
                        <w:bottom w:val="none" w:sz="0" w:space="0" w:color="auto"/>
                        <w:right w:val="none" w:sz="0" w:space="0" w:color="auto"/>
                      </w:divBdr>
                      <w:divsChild>
                        <w:div w:id="961615157">
                          <w:marLeft w:val="0"/>
                          <w:marRight w:val="0"/>
                          <w:marTop w:val="0"/>
                          <w:marBottom w:val="0"/>
                          <w:divBdr>
                            <w:top w:val="none" w:sz="0" w:space="0" w:color="auto"/>
                            <w:left w:val="none" w:sz="0" w:space="0" w:color="auto"/>
                            <w:bottom w:val="none" w:sz="0" w:space="0" w:color="auto"/>
                            <w:right w:val="none" w:sz="0" w:space="0" w:color="auto"/>
                          </w:divBdr>
                          <w:divsChild>
                            <w:div w:id="102925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9491196">
      <w:bodyDiv w:val="1"/>
      <w:marLeft w:val="0"/>
      <w:marRight w:val="0"/>
      <w:marTop w:val="0"/>
      <w:marBottom w:val="0"/>
      <w:divBdr>
        <w:top w:val="none" w:sz="0" w:space="0" w:color="auto"/>
        <w:left w:val="none" w:sz="0" w:space="0" w:color="auto"/>
        <w:bottom w:val="none" w:sz="0" w:space="0" w:color="auto"/>
        <w:right w:val="none" w:sz="0" w:space="0" w:color="auto"/>
      </w:divBdr>
    </w:div>
    <w:div w:id="1616400481">
      <w:bodyDiv w:val="1"/>
      <w:marLeft w:val="0"/>
      <w:marRight w:val="0"/>
      <w:marTop w:val="0"/>
      <w:marBottom w:val="0"/>
      <w:divBdr>
        <w:top w:val="none" w:sz="0" w:space="0" w:color="auto"/>
        <w:left w:val="none" w:sz="0" w:space="0" w:color="auto"/>
        <w:bottom w:val="none" w:sz="0" w:space="0" w:color="auto"/>
        <w:right w:val="none" w:sz="0" w:space="0" w:color="auto"/>
      </w:divBdr>
    </w:div>
    <w:div w:id="182866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_al__ma_Sayfas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_al__ma_Sayfas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_al__ma_Sayfas_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tr-TR"/>
  <c:chart>
    <c:title>
      <c:tx>
        <c:rich>
          <a:bodyPr/>
          <a:lstStyle/>
          <a:p>
            <a:pPr>
              <a:defRPr sz="900" b="1" i="0" u="none" strike="noStrike" baseline="0">
                <a:solidFill>
                  <a:schemeClr val="tx1"/>
                </a:solidFill>
                <a:latin typeface="Arial"/>
                <a:ea typeface="Arial"/>
                <a:cs typeface="Arial"/>
              </a:defRPr>
            </a:pPr>
            <a:r>
              <a:rPr lang="tr-TR" sz="900">
                <a:solidFill>
                  <a:schemeClr val="tx1"/>
                </a:solidFill>
              </a:rPr>
              <a:t>                Bütçe Başlangıç Ödeneklerinin 2012-2013 Yılları İtibariyle Dağılımı</a:t>
            </a:r>
          </a:p>
        </c:rich>
      </c:tx>
      <c:layout>
        <c:manualLayout>
          <c:xMode val="edge"/>
          <c:yMode val="edge"/>
          <c:x val="0.12573785419679748"/>
          <c:y val="2.0815223097112881E-2"/>
        </c:manualLayout>
      </c:layout>
      <c:spPr>
        <a:noFill/>
        <a:ln w="25399">
          <a:noFill/>
        </a:ln>
      </c:spPr>
    </c:title>
    <c:plotArea>
      <c:layout>
        <c:manualLayout>
          <c:layoutTarget val="inner"/>
          <c:xMode val="edge"/>
          <c:yMode val="edge"/>
          <c:x val="0.10952273822915042"/>
          <c:y val="9.9387033985093243E-2"/>
          <c:w val="0.82362728785358386"/>
          <c:h val="0.72042786454971863"/>
        </c:manualLayout>
      </c:layout>
      <c:barChart>
        <c:barDir val="col"/>
        <c:grouping val="clustered"/>
        <c:ser>
          <c:idx val="0"/>
          <c:order val="0"/>
          <c:tx>
            <c:strRef>
              <c:f>Sayfa1!$A$5</c:f>
              <c:strCache>
                <c:ptCount val="1"/>
                <c:pt idx="0">
                  <c:v>2012 Yılı Başlangıç Ödeneği (1000 TL)</c:v>
                </c:pt>
              </c:strCache>
            </c:strRef>
          </c:tx>
          <c:spPr>
            <a:solidFill>
              <a:srgbClr val="E1DBE9"/>
            </a:solidFill>
            <a:ln w="12700">
              <a:solidFill>
                <a:srgbClr val="000000"/>
              </a:solidFill>
              <a:prstDash val="solid"/>
            </a:ln>
          </c:spPr>
          <c:dLbls>
            <c:dLbl>
              <c:idx val="0"/>
              <c:layout>
                <c:manualLayout>
                  <c:x val="-9.0702947845805008E-3"/>
                  <c:y val="-4.3715846994535745E-3"/>
                </c:manualLayout>
              </c:layout>
              <c:dLblPos val="outEnd"/>
              <c:showVal val="1"/>
            </c:dLbl>
            <c:dLbl>
              <c:idx val="3"/>
              <c:layout>
                <c:manualLayout>
                  <c:x val="-6.8027210884354034E-3"/>
                  <c:y val="0"/>
                </c:manualLayout>
              </c:layout>
              <c:dLblPos val="outEnd"/>
              <c:showVal val="1"/>
            </c:dLbl>
            <c:spPr>
              <a:noFill/>
              <a:ln w="25399">
                <a:noFill/>
              </a:ln>
            </c:spPr>
            <c:txPr>
              <a:bodyPr/>
              <a:lstStyle/>
              <a:p>
                <a:pPr>
                  <a:defRPr sz="800" b="1" i="0" u="none" strike="noStrike" baseline="0">
                    <a:solidFill>
                      <a:schemeClr val="tx1"/>
                    </a:solidFill>
                    <a:latin typeface="Arial"/>
                    <a:ea typeface="Arial"/>
                    <a:cs typeface="Arial"/>
                  </a:defRPr>
                </a:pPr>
                <a:endParaRPr lang="tr-TR"/>
              </a:p>
            </c:txPr>
            <c:dLblPos val="outEnd"/>
            <c:showVal val="1"/>
          </c:dLbls>
          <c:cat>
            <c:strRef>
              <c:f>Sayfa1!$B$4:$F$4</c:f>
              <c:strCache>
                <c:ptCount val="5"/>
                <c:pt idx="0">
                  <c:v>Personel Gideri</c:v>
                </c:pt>
                <c:pt idx="1">
                  <c:v>Sosyal Güv. Kur. Dev Prim Gid.</c:v>
                </c:pt>
                <c:pt idx="2">
                  <c:v>Mal ve Hiz. Alım Gideri</c:v>
                </c:pt>
                <c:pt idx="3">
                  <c:v>Cari Transferler</c:v>
                </c:pt>
                <c:pt idx="4">
                  <c:v>Sermaye  Giderleri</c:v>
                </c:pt>
              </c:strCache>
            </c:strRef>
          </c:cat>
          <c:val>
            <c:numRef>
              <c:f>Sayfa1!$B$5:$F$5</c:f>
              <c:numCache>
                <c:formatCode>#,##0</c:formatCode>
                <c:ptCount val="5"/>
                <c:pt idx="0">
                  <c:v>19242</c:v>
                </c:pt>
                <c:pt idx="1">
                  <c:v>3262</c:v>
                </c:pt>
                <c:pt idx="2">
                  <c:v>2257</c:v>
                </c:pt>
                <c:pt idx="3">
                  <c:v>1215</c:v>
                </c:pt>
                <c:pt idx="4">
                  <c:v>3000</c:v>
                </c:pt>
              </c:numCache>
            </c:numRef>
          </c:val>
        </c:ser>
        <c:ser>
          <c:idx val="1"/>
          <c:order val="1"/>
          <c:tx>
            <c:strRef>
              <c:f>Sayfa1!$A$6</c:f>
              <c:strCache>
                <c:ptCount val="1"/>
                <c:pt idx="0">
                  <c:v>2013 Yılı Başlangıç Ödeneği (1000 TL)</c:v>
                </c:pt>
              </c:strCache>
            </c:strRef>
          </c:tx>
          <c:spPr>
            <a:solidFill>
              <a:srgbClr val="FFCDCD"/>
            </a:solidFill>
            <a:ln w="12700">
              <a:solidFill>
                <a:srgbClr val="000000"/>
              </a:solidFill>
              <a:prstDash val="solid"/>
            </a:ln>
          </c:spPr>
          <c:dLbls>
            <c:dLbl>
              <c:idx val="0"/>
              <c:layout>
                <c:manualLayout>
                  <c:x val="3.0277030418220118E-2"/>
                  <c:y val="-5.6847131396711124E-3"/>
                </c:manualLayout>
              </c:layout>
              <c:dLblPos val="outEnd"/>
              <c:showVal val="1"/>
            </c:dLbl>
            <c:dLbl>
              <c:idx val="1"/>
              <c:layout>
                <c:manualLayout>
                  <c:x val="1.1520417314606929E-2"/>
                  <c:y val="-4.8499587269105904E-3"/>
                </c:manualLayout>
              </c:layout>
              <c:dLblPos val="outEnd"/>
              <c:showVal val="1"/>
            </c:dLbl>
            <c:dLbl>
              <c:idx val="2"/>
              <c:layout>
                <c:manualLayout>
                  <c:x val="2.5574836060852871E-2"/>
                  <c:y val="-4.4074716649119914E-3"/>
                </c:manualLayout>
              </c:layout>
              <c:dLblPos val="outEnd"/>
              <c:showVal val="1"/>
            </c:dLbl>
            <c:dLbl>
              <c:idx val="3"/>
              <c:layout>
                <c:manualLayout>
                  <c:x val="1.1337868480725623E-2"/>
                  <c:y val="-4.3715846994535745E-3"/>
                </c:manualLayout>
              </c:layout>
              <c:tx>
                <c:rich>
                  <a:bodyPr/>
                  <a:lstStyle/>
                  <a:p>
                    <a:r>
                      <a:rPr lang="tr-TR" baseline="0"/>
                      <a:t>1</a:t>
                    </a:r>
                    <a:r>
                      <a:rPr lang="tr-TR"/>
                      <a:t>.600</a:t>
                    </a:r>
                    <a:endParaRPr lang="en-US"/>
                  </a:p>
                </c:rich>
              </c:tx>
            </c:dLbl>
            <c:dLbl>
              <c:idx val="4"/>
              <c:layout>
                <c:manualLayout>
                  <c:x val="1.9305243584363765E-2"/>
                  <c:y val="-5.5548141228109705E-3"/>
                </c:manualLayout>
              </c:layout>
              <c:dLblPos val="outEnd"/>
              <c:showVal val="1"/>
            </c:dLbl>
            <c:spPr>
              <a:noFill/>
              <a:ln w="25399">
                <a:noFill/>
              </a:ln>
            </c:spPr>
            <c:txPr>
              <a:bodyPr/>
              <a:lstStyle/>
              <a:p>
                <a:pPr>
                  <a:defRPr sz="800" b="1" i="0" u="none" strike="noStrike" baseline="0">
                    <a:solidFill>
                      <a:schemeClr val="tx1"/>
                    </a:solidFill>
                    <a:latin typeface="Arial"/>
                    <a:ea typeface="Arial"/>
                    <a:cs typeface="Arial"/>
                  </a:defRPr>
                </a:pPr>
                <a:endParaRPr lang="tr-TR"/>
              </a:p>
            </c:txPr>
            <c:showVal val="1"/>
          </c:dLbls>
          <c:cat>
            <c:strRef>
              <c:f>Sayfa1!$B$4:$F$4</c:f>
              <c:strCache>
                <c:ptCount val="5"/>
                <c:pt idx="0">
                  <c:v>Personel Gideri</c:v>
                </c:pt>
                <c:pt idx="1">
                  <c:v>Sosyal Güv. Kur. Dev Prim Gid.</c:v>
                </c:pt>
                <c:pt idx="2">
                  <c:v>Mal ve Hiz. Alım Gideri</c:v>
                </c:pt>
                <c:pt idx="3">
                  <c:v>Cari Transferler</c:v>
                </c:pt>
                <c:pt idx="4">
                  <c:v>Sermaye  Giderleri</c:v>
                </c:pt>
              </c:strCache>
            </c:strRef>
          </c:cat>
          <c:val>
            <c:numRef>
              <c:f>Sayfa1!$B$6:$F$6</c:f>
              <c:numCache>
                <c:formatCode>#,##0</c:formatCode>
                <c:ptCount val="5"/>
                <c:pt idx="0">
                  <c:v>22810</c:v>
                </c:pt>
                <c:pt idx="1">
                  <c:v>3800</c:v>
                </c:pt>
                <c:pt idx="2">
                  <c:v>2372</c:v>
                </c:pt>
                <c:pt idx="3">
                  <c:v>1600</c:v>
                </c:pt>
                <c:pt idx="4">
                  <c:v>3300</c:v>
                </c:pt>
              </c:numCache>
            </c:numRef>
          </c:val>
        </c:ser>
        <c:ser>
          <c:idx val="2"/>
          <c:order val="2"/>
          <c:tx>
            <c:strRef>
              <c:f>Sayfa1!$A$7</c:f>
              <c:strCache>
                <c:ptCount val="1"/>
                <c:pt idx="0">
                  <c:v>Artış Oranı</c:v>
                </c:pt>
              </c:strCache>
            </c:strRef>
          </c:tx>
          <c:spPr>
            <a:solidFill>
              <a:srgbClr val="00FF00"/>
            </a:solidFill>
            <a:ln w="12700">
              <a:solidFill>
                <a:srgbClr val="000000"/>
              </a:solidFill>
              <a:prstDash val="solid"/>
            </a:ln>
          </c:spPr>
          <c:dLbls>
            <c:dLbl>
              <c:idx val="0"/>
              <c:layout>
                <c:manualLayout>
                  <c:x val="-8.3789347760101524E-2"/>
                  <c:y val="-0.65356420494831513"/>
                </c:manualLayout>
              </c:layout>
              <c:tx>
                <c:rich>
                  <a:bodyPr/>
                  <a:lstStyle/>
                  <a:p>
                    <a:r>
                      <a:rPr lang="tr-TR">
                        <a:solidFill>
                          <a:srgbClr val="C00000"/>
                        </a:solidFill>
                      </a:rPr>
                      <a:t>%</a:t>
                    </a:r>
                    <a:r>
                      <a:rPr lang="tr-TR"/>
                      <a:t>18,5</a:t>
                    </a:r>
                    <a:r>
                      <a:rPr lang="en-US"/>
                      <a:t> </a:t>
                    </a:r>
                  </a:p>
                </c:rich>
              </c:tx>
              <c:dLblPos val="outEnd"/>
              <c:showVal val="1"/>
            </c:dLbl>
            <c:dLbl>
              <c:idx val="1"/>
              <c:layout>
                <c:manualLayout>
                  <c:x val="-0.11524059492563465"/>
                  <c:y val="-0.14626537796519579"/>
                </c:manualLayout>
              </c:layout>
              <c:tx>
                <c:rich>
                  <a:bodyPr/>
                  <a:lstStyle/>
                  <a:p>
                    <a:r>
                      <a:rPr lang="tr-TR">
                        <a:solidFill>
                          <a:srgbClr val="C00000"/>
                        </a:solidFill>
                      </a:rPr>
                      <a:t>%</a:t>
                    </a:r>
                    <a:r>
                      <a:rPr lang="tr-TR"/>
                      <a:t>16,4</a:t>
                    </a:r>
                    <a:r>
                      <a:rPr lang="en-US"/>
                      <a:t> </a:t>
                    </a:r>
                  </a:p>
                </c:rich>
              </c:tx>
              <c:dLblPos val="outEnd"/>
              <c:showVal val="1"/>
            </c:dLbl>
            <c:dLbl>
              <c:idx val="2"/>
              <c:layout>
                <c:manualLayout>
                  <c:x val="-0.10496884318031674"/>
                  <c:y val="-0.126909728700974"/>
                </c:manualLayout>
              </c:layout>
              <c:tx>
                <c:rich>
                  <a:bodyPr/>
                  <a:lstStyle/>
                  <a:p>
                    <a:r>
                      <a:rPr lang="tr-TR">
                        <a:solidFill>
                          <a:srgbClr val="C00000"/>
                        </a:solidFill>
                      </a:rPr>
                      <a:t>%</a:t>
                    </a:r>
                    <a:r>
                      <a:rPr lang="tr-TR"/>
                      <a:t>5,1</a:t>
                    </a:r>
                    <a:r>
                      <a:rPr lang="en-US"/>
                      <a:t> </a:t>
                    </a:r>
                  </a:p>
                </c:rich>
              </c:tx>
              <c:dLblPos val="outEnd"/>
              <c:showVal val="1"/>
            </c:dLbl>
            <c:dLbl>
              <c:idx val="3"/>
              <c:layout>
                <c:manualLayout>
                  <c:x val="-0.10216812184191311"/>
                  <c:y val="-9.3274620293316748E-2"/>
                </c:manualLayout>
              </c:layout>
              <c:tx>
                <c:rich>
                  <a:bodyPr/>
                  <a:lstStyle/>
                  <a:p>
                    <a:r>
                      <a:rPr lang="tr-TR" baseline="0">
                        <a:solidFill>
                          <a:srgbClr val="C00000"/>
                        </a:solidFill>
                      </a:rPr>
                      <a:t>%</a:t>
                    </a:r>
                    <a:r>
                      <a:rPr lang="tr-TR" baseline="0"/>
                      <a:t>31,6</a:t>
                    </a:r>
                    <a:r>
                      <a:rPr lang="en-US" baseline="0"/>
                      <a:t> </a:t>
                    </a:r>
                  </a:p>
                </c:rich>
              </c:tx>
              <c:dLblPos val="outEnd"/>
              <c:showVal val="1"/>
            </c:dLbl>
            <c:dLbl>
              <c:idx val="4"/>
              <c:layout>
                <c:manualLayout>
                  <c:x val="-0.11642151873872922"/>
                  <c:y val="-0.13746787575723726"/>
                </c:manualLayout>
              </c:layout>
              <c:tx>
                <c:rich>
                  <a:bodyPr/>
                  <a:lstStyle/>
                  <a:p>
                    <a:r>
                      <a:rPr lang="tr-TR">
                        <a:solidFill>
                          <a:srgbClr val="C00000"/>
                        </a:solidFill>
                      </a:rPr>
                      <a:t>%</a:t>
                    </a:r>
                    <a:r>
                      <a:rPr lang="tr-TR"/>
                      <a:t> 10</a:t>
                    </a:r>
                    <a:r>
                      <a:rPr lang="en-US"/>
                      <a:t> </a:t>
                    </a:r>
                  </a:p>
                </c:rich>
              </c:tx>
              <c:dLblPos val="outEnd"/>
              <c:showVal val="1"/>
            </c:dLbl>
            <c:numFmt formatCode="#,##0.00_ ;\-#,##0.00\ " sourceLinked="0"/>
            <c:spPr>
              <a:noFill/>
              <a:ln w="25399">
                <a:noFill/>
              </a:ln>
            </c:spPr>
            <c:txPr>
              <a:bodyPr/>
              <a:lstStyle/>
              <a:p>
                <a:pPr>
                  <a:defRPr sz="800" b="1" i="0" u="none" strike="noStrike" baseline="0">
                    <a:solidFill>
                      <a:srgbClr val="C00000"/>
                    </a:solidFill>
                    <a:latin typeface="Arial"/>
                    <a:ea typeface="Arial"/>
                    <a:cs typeface="Arial"/>
                  </a:defRPr>
                </a:pPr>
                <a:endParaRPr lang="tr-TR"/>
              </a:p>
            </c:txPr>
            <c:showVal val="1"/>
          </c:dLbls>
          <c:cat>
            <c:strRef>
              <c:f>Sayfa1!$B$4:$F$4</c:f>
              <c:strCache>
                <c:ptCount val="5"/>
                <c:pt idx="0">
                  <c:v>Personel Gideri</c:v>
                </c:pt>
                <c:pt idx="1">
                  <c:v>Sosyal Güv. Kur. Dev Prim Gid.</c:v>
                </c:pt>
                <c:pt idx="2">
                  <c:v>Mal ve Hiz. Alım Gideri</c:v>
                </c:pt>
                <c:pt idx="3">
                  <c:v>Cari Transferler</c:v>
                </c:pt>
                <c:pt idx="4">
                  <c:v>Sermaye  Giderleri</c:v>
                </c:pt>
              </c:strCache>
            </c:strRef>
          </c:cat>
          <c:val>
            <c:numRef>
              <c:f>Sayfa1!$B$7:$F$7</c:f>
              <c:numCache>
                <c:formatCode>0.0000</c:formatCode>
                <c:ptCount val="5"/>
                <c:pt idx="0">
                  <c:v>0.18542771021723378</c:v>
                </c:pt>
                <c:pt idx="1">
                  <c:v>0.1649294911097493</c:v>
                </c:pt>
                <c:pt idx="2">
                  <c:v>5.0952591936198909E-2</c:v>
                </c:pt>
                <c:pt idx="3">
                  <c:v>0.31687242798354143</c:v>
                </c:pt>
                <c:pt idx="4">
                  <c:v>0.1</c:v>
                </c:pt>
              </c:numCache>
            </c:numRef>
          </c:val>
        </c:ser>
        <c:dLbls>
          <c:showVal val="1"/>
        </c:dLbls>
        <c:gapWidth val="113"/>
        <c:axId val="79052160"/>
        <c:axId val="79430784"/>
      </c:barChart>
      <c:catAx>
        <c:axId val="79052160"/>
        <c:scaling>
          <c:orientation val="minMax"/>
        </c:scaling>
        <c:axPos val="b"/>
        <c:numFmt formatCode="General" sourceLinked="1"/>
        <c:tickLblPos val="nextTo"/>
        <c:spPr>
          <a:ln w="3175">
            <a:solidFill>
              <a:srgbClr val="000000"/>
            </a:solidFill>
            <a:prstDash val="solid"/>
          </a:ln>
        </c:spPr>
        <c:txPr>
          <a:bodyPr rot="0" vert="horz"/>
          <a:lstStyle/>
          <a:p>
            <a:pPr>
              <a:defRPr sz="750" b="0" i="0" u="none" strike="noStrike" baseline="0">
                <a:solidFill>
                  <a:schemeClr val="tx1"/>
                </a:solidFill>
                <a:latin typeface="Arial"/>
                <a:ea typeface="Arial"/>
                <a:cs typeface="Arial"/>
              </a:defRPr>
            </a:pPr>
            <a:endParaRPr lang="tr-TR"/>
          </a:p>
        </c:txPr>
        <c:crossAx val="79430784"/>
        <c:crosses val="autoZero"/>
        <c:auto val="1"/>
        <c:lblAlgn val="ctr"/>
        <c:lblOffset val="100"/>
        <c:tickLblSkip val="1"/>
        <c:tickMarkSkip val="1"/>
      </c:catAx>
      <c:valAx>
        <c:axId val="79430784"/>
        <c:scaling>
          <c:orientation val="minMax"/>
          <c:max val="25000"/>
          <c:min val="0"/>
        </c:scaling>
        <c:axPos val="l"/>
        <c:numFmt formatCode="#,##0" sourceLinked="1"/>
        <c:tickLblPos val="nextTo"/>
        <c:spPr>
          <a:ln w="3175">
            <a:solidFill>
              <a:srgbClr val="000000"/>
            </a:solidFill>
            <a:prstDash val="solid"/>
          </a:ln>
        </c:spPr>
        <c:txPr>
          <a:bodyPr rot="0" vert="horz"/>
          <a:lstStyle/>
          <a:p>
            <a:pPr>
              <a:defRPr sz="800" b="0" i="0" u="none" strike="noStrike" baseline="0">
                <a:solidFill>
                  <a:schemeClr val="tx1"/>
                </a:solidFill>
                <a:latin typeface="Arial"/>
                <a:ea typeface="Arial"/>
                <a:cs typeface="Arial"/>
              </a:defRPr>
            </a:pPr>
            <a:endParaRPr lang="tr-TR"/>
          </a:p>
        </c:txPr>
        <c:crossAx val="79052160"/>
        <c:crosses val="autoZero"/>
        <c:crossBetween val="between"/>
      </c:valAx>
      <c:spPr>
        <a:noFill/>
        <a:ln w="12700">
          <a:solidFill>
            <a:srgbClr val="808080"/>
          </a:solidFill>
          <a:prstDash val="solid"/>
        </a:ln>
      </c:spPr>
    </c:plotArea>
    <c:legend>
      <c:legendPos val="b"/>
      <c:legendEntry>
        <c:idx val="0"/>
        <c:txPr>
          <a:bodyPr/>
          <a:lstStyle/>
          <a:p>
            <a:pPr>
              <a:defRPr sz="735" b="0" i="0" u="none" strike="noStrike" baseline="0">
                <a:solidFill>
                  <a:sysClr val="windowText" lastClr="000000"/>
                </a:solidFill>
                <a:latin typeface="Arial"/>
                <a:ea typeface="Arial"/>
                <a:cs typeface="Arial"/>
              </a:defRPr>
            </a:pPr>
            <a:endParaRPr lang="tr-TR"/>
          </a:p>
        </c:txPr>
      </c:legendEntry>
      <c:legendEntry>
        <c:idx val="1"/>
        <c:txPr>
          <a:bodyPr/>
          <a:lstStyle/>
          <a:p>
            <a:pPr>
              <a:defRPr sz="735" b="0" i="0" u="none" strike="noStrike" baseline="0">
                <a:solidFill>
                  <a:sysClr val="windowText" lastClr="000000"/>
                </a:solidFill>
                <a:latin typeface="Arial"/>
                <a:ea typeface="Arial"/>
                <a:cs typeface="Arial"/>
              </a:defRPr>
            </a:pPr>
            <a:endParaRPr lang="tr-TR"/>
          </a:p>
        </c:txPr>
      </c:legendEntry>
      <c:legendEntry>
        <c:idx val="2"/>
        <c:txPr>
          <a:bodyPr/>
          <a:lstStyle/>
          <a:p>
            <a:pPr>
              <a:defRPr sz="735" b="0" i="0" u="none" strike="noStrike" baseline="0">
                <a:solidFill>
                  <a:sysClr val="windowText" lastClr="000000"/>
                </a:solidFill>
                <a:latin typeface="Arial"/>
                <a:ea typeface="Arial"/>
                <a:cs typeface="Arial"/>
              </a:defRPr>
            </a:pPr>
            <a:endParaRPr lang="tr-TR"/>
          </a:p>
        </c:txPr>
      </c:legendEntry>
      <c:layout>
        <c:manualLayout>
          <c:xMode val="edge"/>
          <c:yMode val="edge"/>
          <c:x val="9.2309175638759497E-2"/>
          <c:y val="0.89818014454354422"/>
          <c:w val="0.83855797437085033"/>
          <c:h val="7.7212687397127028E-2"/>
        </c:manualLayout>
      </c:layout>
      <c:spPr>
        <a:noFill/>
        <a:ln w="3175">
          <a:solidFill>
            <a:srgbClr val="000000"/>
          </a:solidFill>
          <a:prstDash val="solid"/>
        </a:ln>
      </c:spPr>
      <c:txPr>
        <a:bodyPr/>
        <a:lstStyle/>
        <a:p>
          <a:pPr>
            <a:defRPr sz="735" b="0" i="0" u="none" strike="noStrike" baseline="0">
              <a:solidFill>
                <a:srgbClr val="FFFFFF"/>
              </a:solidFill>
              <a:latin typeface="Arial"/>
              <a:ea typeface="Arial"/>
              <a:cs typeface="Arial"/>
            </a:defRPr>
          </a:pPr>
          <a:endParaRPr lang="tr-TR"/>
        </a:p>
      </c:txPr>
    </c:legend>
    <c:plotVisOnly val="1"/>
    <c:dispBlanksAs val="gap"/>
  </c:chart>
  <c:spPr>
    <a:noFill/>
    <a:ln w="3175">
      <a:solidFill>
        <a:srgbClr val="000000"/>
      </a:solidFill>
      <a:prstDash val="solid"/>
    </a:ln>
  </c:spPr>
  <c:txPr>
    <a:bodyPr/>
    <a:lstStyle/>
    <a:p>
      <a:pPr>
        <a:defRPr sz="1175" b="0" i="0" u="none" strike="noStrike" baseline="0">
          <a:solidFill>
            <a:srgbClr val="000000"/>
          </a:solidFill>
          <a:latin typeface="Arial"/>
          <a:ea typeface="Arial"/>
          <a:cs typeface="Arial"/>
        </a:defRPr>
      </a:pPr>
      <a:endParaRPr lang="tr-TR"/>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tr-TR"/>
  <c:chart>
    <c:title>
      <c:tx>
        <c:rich>
          <a:bodyPr/>
          <a:lstStyle/>
          <a:p>
            <a:pPr>
              <a:defRPr sz="900" b="1" i="0" u="none" strike="noStrike" baseline="0">
                <a:solidFill>
                  <a:schemeClr val="tx1"/>
                </a:solidFill>
                <a:latin typeface="Arial"/>
                <a:ea typeface="Arial"/>
                <a:cs typeface="Arial"/>
              </a:defRPr>
            </a:pPr>
            <a:r>
              <a:rPr lang="tr-TR" sz="900">
                <a:solidFill>
                  <a:schemeClr val="tx1"/>
                </a:solidFill>
              </a:rPr>
              <a:t>           2012 Yılı İlk Altı Aylık Bütçe Uygulama Sonuçları</a:t>
            </a:r>
          </a:p>
        </c:rich>
      </c:tx>
      <c:layout>
        <c:manualLayout>
          <c:xMode val="edge"/>
          <c:yMode val="edge"/>
          <c:x val="0.20358295248059041"/>
          <c:y val="2.0134068607277792E-2"/>
        </c:manualLayout>
      </c:layout>
      <c:spPr>
        <a:noFill/>
        <a:ln w="25400">
          <a:noFill/>
        </a:ln>
      </c:spPr>
    </c:title>
    <c:plotArea>
      <c:layout>
        <c:manualLayout>
          <c:layoutTarget val="inner"/>
          <c:xMode val="edge"/>
          <c:yMode val="edge"/>
          <c:x val="0.10912052117263944"/>
          <c:y val="8.7633948773645026E-2"/>
          <c:w val="0.8355048859934856"/>
          <c:h val="0.67522943252783485"/>
        </c:manualLayout>
      </c:layout>
      <c:barChart>
        <c:barDir val="col"/>
        <c:grouping val="clustered"/>
        <c:ser>
          <c:idx val="0"/>
          <c:order val="0"/>
          <c:tx>
            <c:strRef>
              <c:f>Sayfa1!$A$5</c:f>
              <c:strCache>
                <c:ptCount val="1"/>
                <c:pt idx="0">
                  <c:v>2012 Yılı Başlangıç Ödeneği (1000 TL)</c:v>
                </c:pt>
              </c:strCache>
            </c:strRef>
          </c:tx>
          <c:spPr>
            <a:solidFill>
              <a:srgbClr val="E1DBE9"/>
            </a:solidFill>
            <a:ln w="12700">
              <a:solidFill>
                <a:srgbClr val="000000"/>
              </a:solidFill>
              <a:prstDash val="solid"/>
            </a:ln>
          </c:spPr>
          <c:dLbls>
            <c:dLbl>
              <c:idx val="0"/>
              <c:layout>
                <c:manualLayout>
                  <c:x val="-2.8777347456975519E-4"/>
                  <c:y val="8.4978303886510866E-3"/>
                </c:manualLayout>
              </c:layout>
              <c:dLblPos val="outEnd"/>
              <c:showVal val="1"/>
            </c:dLbl>
            <c:spPr>
              <a:noFill/>
              <a:ln w="25400">
                <a:noFill/>
              </a:ln>
            </c:spPr>
            <c:txPr>
              <a:bodyPr/>
              <a:lstStyle/>
              <a:p>
                <a:pPr>
                  <a:defRPr sz="850" b="1" i="0" u="none" strike="noStrike" baseline="0">
                    <a:solidFill>
                      <a:schemeClr val="tx1"/>
                    </a:solidFill>
                    <a:latin typeface="Arial"/>
                    <a:ea typeface="Arial"/>
                    <a:cs typeface="Arial"/>
                  </a:defRPr>
                </a:pPr>
                <a:endParaRPr lang="tr-TR"/>
              </a:p>
            </c:txPr>
            <c:showVal val="1"/>
          </c:dLbls>
          <c:cat>
            <c:strRef>
              <c:f>Sayfa1!$B$4:$F$4</c:f>
              <c:strCache>
                <c:ptCount val="5"/>
                <c:pt idx="0">
                  <c:v>Personel Gideri</c:v>
                </c:pt>
                <c:pt idx="1">
                  <c:v>Sosyal Güv. Kur. Dev Prim Gid.</c:v>
                </c:pt>
                <c:pt idx="2">
                  <c:v>Mal ve Hiz. Alım Gideri</c:v>
                </c:pt>
                <c:pt idx="3">
                  <c:v>Cari Transferler</c:v>
                </c:pt>
                <c:pt idx="4">
                  <c:v>Sermaye Gid. ve Sermaye Trans. Giderleri</c:v>
                </c:pt>
              </c:strCache>
            </c:strRef>
          </c:cat>
          <c:val>
            <c:numRef>
              <c:f>Sayfa1!$B$5:$F$5</c:f>
              <c:numCache>
                <c:formatCode>#,##0</c:formatCode>
                <c:ptCount val="5"/>
                <c:pt idx="0">
                  <c:v>19242</c:v>
                </c:pt>
                <c:pt idx="1">
                  <c:v>3262</c:v>
                </c:pt>
                <c:pt idx="2">
                  <c:v>2257</c:v>
                </c:pt>
                <c:pt idx="3">
                  <c:v>1215</c:v>
                </c:pt>
                <c:pt idx="4">
                  <c:v>3000</c:v>
                </c:pt>
              </c:numCache>
            </c:numRef>
          </c:val>
        </c:ser>
        <c:ser>
          <c:idx val="1"/>
          <c:order val="1"/>
          <c:tx>
            <c:strRef>
              <c:f>Sayfa1!$A$6</c:f>
              <c:strCache>
                <c:ptCount val="1"/>
                <c:pt idx="0">
                  <c:v>2012 Yılı İlk Altı Aylık Gerçekleşme (1000 TL)</c:v>
                </c:pt>
              </c:strCache>
            </c:strRef>
          </c:tx>
          <c:spPr>
            <a:solidFill>
              <a:srgbClr val="FFCDCD"/>
            </a:solidFill>
            <a:ln w="12700">
              <a:solidFill>
                <a:srgbClr val="000000"/>
              </a:solidFill>
              <a:prstDash val="solid"/>
            </a:ln>
          </c:spPr>
          <c:dLbls>
            <c:dLbl>
              <c:idx val="0"/>
              <c:layout>
                <c:manualLayout>
                  <c:x val="1.6324604375593115E-2"/>
                  <c:y val="-3.7790578191148742E-3"/>
                </c:manualLayout>
              </c:layout>
              <c:dLblPos val="outEnd"/>
              <c:showVal val="1"/>
            </c:dLbl>
            <c:dLbl>
              <c:idx val="1"/>
              <c:layout>
                <c:manualLayout>
                  <c:x val="1.5103063257158001E-2"/>
                  <c:y val="-4.6710939656033424E-3"/>
                </c:manualLayout>
              </c:layout>
              <c:dLblPos val="outEnd"/>
              <c:showVal val="1"/>
            </c:dLbl>
            <c:dLbl>
              <c:idx val="2"/>
              <c:layout>
                <c:manualLayout>
                  <c:x val="1.412586456008964E-2"/>
                  <c:y val="-5.441232597603254E-3"/>
                </c:manualLayout>
              </c:layout>
              <c:dLblPos val="outEnd"/>
              <c:showVal val="1"/>
            </c:dLbl>
            <c:dLbl>
              <c:idx val="4"/>
              <c:layout>
                <c:manualLayout>
                  <c:x val="2.5012543779030786E-2"/>
                  <c:y val="-6.3234589902590123E-4"/>
                </c:manualLayout>
              </c:layout>
              <c:showVal val="1"/>
            </c:dLbl>
            <c:spPr>
              <a:noFill/>
              <a:ln w="25400">
                <a:noFill/>
              </a:ln>
            </c:spPr>
            <c:txPr>
              <a:bodyPr/>
              <a:lstStyle/>
              <a:p>
                <a:pPr>
                  <a:defRPr sz="850" b="1" i="0" u="none" strike="noStrike" baseline="0">
                    <a:solidFill>
                      <a:schemeClr val="tx1"/>
                    </a:solidFill>
                    <a:latin typeface="Arial"/>
                    <a:ea typeface="Arial"/>
                    <a:cs typeface="Arial"/>
                  </a:defRPr>
                </a:pPr>
                <a:endParaRPr lang="tr-TR"/>
              </a:p>
            </c:txPr>
            <c:showVal val="1"/>
          </c:dLbls>
          <c:cat>
            <c:strRef>
              <c:f>Sayfa1!$B$4:$F$4</c:f>
              <c:strCache>
                <c:ptCount val="5"/>
                <c:pt idx="0">
                  <c:v>Personel Gideri</c:v>
                </c:pt>
                <c:pt idx="1">
                  <c:v>Sosyal Güv. Kur. Dev Prim Gid.</c:v>
                </c:pt>
                <c:pt idx="2">
                  <c:v>Mal ve Hiz. Alım Gideri</c:v>
                </c:pt>
                <c:pt idx="3">
                  <c:v>Cari Transferler</c:v>
                </c:pt>
                <c:pt idx="4">
                  <c:v>Sermaye Gid. ve Sermaye Trans. Giderleri</c:v>
                </c:pt>
              </c:strCache>
            </c:strRef>
          </c:cat>
          <c:val>
            <c:numRef>
              <c:f>Sayfa1!$B$6:$F$6</c:f>
              <c:numCache>
                <c:formatCode>#,##0</c:formatCode>
                <c:ptCount val="5"/>
                <c:pt idx="0">
                  <c:v>10499</c:v>
                </c:pt>
                <c:pt idx="1">
                  <c:v>1755</c:v>
                </c:pt>
                <c:pt idx="2">
                  <c:v>3483</c:v>
                </c:pt>
                <c:pt idx="3">
                  <c:v>296947</c:v>
                </c:pt>
                <c:pt idx="4">
                  <c:v>108</c:v>
                </c:pt>
              </c:numCache>
            </c:numRef>
          </c:val>
        </c:ser>
        <c:ser>
          <c:idx val="2"/>
          <c:order val="2"/>
          <c:tx>
            <c:strRef>
              <c:f>Sayfa1!$A$7</c:f>
              <c:strCache>
                <c:ptCount val="1"/>
                <c:pt idx="0">
                  <c:v>Gerçekleşme Oranı</c:v>
                </c:pt>
              </c:strCache>
            </c:strRef>
          </c:tx>
          <c:spPr>
            <a:solidFill>
              <a:srgbClr val="00FF00"/>
            </a:solidFill>
            <a:ln w="12700">
              <a:solidFill>
                <a:srgbClr val="000000"/>
              </a:solidFill>
              <a:prstDash val="solid"/>
            </a:ln>
          </c:spPr>
          <c:dLbls>
            <c:dLbl>
              <c:idx val="0"/>
              <c:layout>
                <c:manualLayout>
                  <c:x val="-6.7101848861951946E-2"/>
                  <c:y val="-0.10122044213295522"/>
                </c:manualLayout>
              </c:layout>
              <c:dLblPos val="outEnd"/>
              <c:showVal val="1"/>
            </c:dLbl>
            <c:dLbl>
              <c:idx val="1"/>
              <c:layout>
                <c:manualLayout>
                  <c:x val="-4.7201039933099882E-2"/>
                  <c:y val="-6.8694634879647568E-2"/>
                </c:manualLayout>
              </c:layout>
              <c:dLblPos val="outEnd"/>
              <c:showVal val="1"/>
            </c:dLbl>
            <c:dLbl>
              <c:idx val="2"/>
              <c:layout>
                <c:manualLayout>
                  <c:x val="-5.1131755218294765E-2"/>
                  <c:y val="-6.1150127596637016E-2"/>
                </c:manualLayout>
              </c:layout>
              <c:tx>
                <c:rich>
                  <a:bodyPr/>
                  <a:lstStyle/>
                  <a:p>
                    <a:r>
                      <a:rPr lang="tr-TR">
                        <a:solidFill>
                          <a:srgbClr val="C00000"/>
                        </a:solidFill>
                      </a:rPr>
                      <a:t>1</a:t>
                    </a:r>
                    <a:r>
                      <a:rPr lang="tr-TR"/>
                      <a:t>,54 </a:t>
                    </a:r>
                    <a:endParaRPr lang="en-US"/>
                  </a:p>
                </c:rich>
              </c:tx>
              <c:dLblPos val="outEnd"/>
              <c:showVal val="1"/>
            </c:dLbl>
            <c:dLbl>
              <c:idx val="3"/>
              <c:layout>
                <c:manualLayout>
                  <c:x val="-0.10141030087389158"/>
                  <c:y val="-0.5041843153226514"/>
                </c:manualLayout>
              </c:layout>
              <c:tx>
                <c:rich>
                  <a:bodyPr/>
                  <a:lstStyle/>
                  <a:p>
                    <a:r>
                      <a:rPr lang="en-US">
                        <a:solidFill>
                          <a:srgbClr val="C00000"/>
                        </a:solidFill>
                      </a:rPr>
                      <a:t>2</a:t>
                    </a:r>
                    <a:r>
                      <a:rPr lang="en-US"/>
                      <a:t>4</a:t>
                    </a:r>
                    <a:r>
                      <a:rPr lang="tr-TR"/>
                      <a:t>,</a:t>
                    </a:r>
                    <a:r>
                      <a:rPr lang="en-US"/>
                      <a:t>440%</a:t>
                    </a:r>
                  </a:p>
                </c:rich>
              </c:tx>
              <c:dLblPos val="outEnd"/>
              <c:showVal val="1"/>
            </c:dLbl>
            <c:dLbl>
              <c:idx val="4"/>
              <c:layout>
                <c:manualLayout>
                  <c:x val="-5.5736439885077975E-2"/>
                  <c:y val="-5.8177519957811605E-2"/>
                </c:manualLayout>
              </c:layout>
              <c:dLblPos val="outEnd"/>
              <c:showVal val="1"/>
            </c:dLbl>
            <c:numFmt formatCode="0%" sourceLinked="0"/>
            <c:spPr>
              <a:noFill/>
              <a:ln w="25400">
                <a:noFill/>
              </a:ln>
            </c:spPr>
            <c:txPr>
              <a:bodyPr/>
              <a:lstStyle/>
              <a:p>
                <a:pPr>
                  <a:defRPr sz="850" b="1" i="0" u="none" strike="noStrike" baseline="0">
                    <a:solidFill>
                      <a:srgbClr val="C00000"/>
                    </a:solidFill>
                    <a:latin typeface="Arial"/>
                    <a:ea typeface="Arial"/>
                    <a:cs typeface="Arial"/>
                  </a:defRPr>
                </a:pPr>
                <a:endParaRPr lang="tr-TR"/>
              </a:p>
            </c:txPr>
            <c:showVal val="1"/>
          </c:dLbls>
          <c:cat>
            <c:strRef>
              <c:f>Sayfa1!$B$4:$F$4</c:f>
              <c:strCache>
                <c:ptCount val="5"/>
                <c:pt idx="0">
                  <c:v>Personel Gideri</c:v>
                </c:pt>
                <c:pt idx="1">
                  <c:v>Sosyal Güv. Kur. Dev Prim Gid.</c:v>
                </c:pt>
                <c:pt idx="2">
                  <c:v>Mal ve Hiz. Alım Gideri</c:v>
                </c:pt>
                <c:pt idx="3">
                  <c:v>Cari Transferler</c:v>
                </c:pt>
                <c:pt idx="4">
                  <c:v>Sermaye Gid. ve Sermaye Trans. Giderleri</c:v>
                </c:pt>
              </c:strCache>
            </c:strRef>
          </c:cat>
          <c:val>
            <c:numRef>
              <c:f>Sayfa1!$B$7:$F$7</c:f>
              <c:numCache>
                <c:formatCode>0.00</c:formatCode>
                <c:ptCount val="5"/>
                <c:pt idx="0">
                  <c:v>0.54562935245816924</c:v>
                </c:pt>
                <c:pt idx="1">
                  <c:v>0.53801348865726295</c:v>
                </c:pt>
                <c:pt idx="2">
                  <c:v>1.5431989366415637</c:v>
                </c:pt>
                <c:pt idx="3">
                  <c:v>244.40082304526749</c:v>
                </c:pt>
                <c:pt idx="4">
                  <c:v>3.5999999999999997E-2</c:v>
                </c:pt>
              </c:numCache>
            </c:numRef>
          </c:val>
        </c:ser>
        <c:dLbls>
          <c:showVal val="1"/>
        </c:dLbls>
        <c:axId val="79680256"/>
        <c:axId val="79681792"/>
      </c:barChart>
      <c:catAx>
        <c:axId val="79680256"/>
        <c:scaling>
          <c:orientation val="minMax"/>
        </c:scaling>
        <c:axPos val="b"/>
        <c:numFmt formatCode="General" sourceLinked="1"/>
        <c:tickLblPos val="nextTo"/>
        <c:spPr>
          <a:ln w="3175">
            <a:solidFill>
              <a:srgbClr val="000000"/>
            </a:solidFill>
            <a:prstDash val="solid"/>
          </a:ln>
        </c:spPr>
        <c:txPr>
          <a:bodyPr rot="0" vert="horz"/>
          <a:lstStyle/>
          <a:p>
            <a:pPr>
              <a:defRPr sz="700" b="0" i="0" u="none" strike="noStrike" baseline="0">
                <a:solidFill>
                  <a:schemeClr val="tx1"/>
                </a:solidFill>
                <a:latin typeface="Arial"/>
                <a:ea typeface="Arial"/>
                <a:cs typeface="Arial"/>
              </a:defRPr>
            </a:pPr>
            <a:endParaRPr lang="tr-TR"/>
          </a:p>
        </c:txPr>
        <c:crossAx val="79681792"/>
        <c:crossesAt val="0"/>
        <c:auto val="1"/>
        <c:lblAlgn val="ctr"/>
        <c:lblOffset val="100"/>
        <c:tickLblSkip val="1"/>
        <c:tickMarkSkip val="1"/>
      </c:catAx>
      <c:valAx>
        <c:axId val="79681792"/>
        <c:scaling>
          <c:orientation val="minMax"/>
          <c:min val="0"/>
        </c:scaling>
        <c:axPos val="l"/>
        <c:numFmt formatCode="#,##0" sourceLinked="1"/>
        <c:tickLblPos val="nextTo"/>
        <c:spPr>
          <a:ln w="3175">
            <a:solidFill>
              <a:srgbClr val="000000"/>
            </a:solidFill>
            <a:prstDash val="solid"/>
          </a:ln>
        </c:spPr>
        <c:txPr>
          <a:bodyPr rot="0" vert="horz"/>
          <a:lstStyle/>
          <a:p>
            <a:pPr>
              <a:defRPr sz="800" b="0" i="0" u="none" strike="noStrike" baseline="0">
                <a:solidFill>
                  <a:schemeClr val="tx1"/>
                </a:solidFill>
                <a:latin typeface="Arial"/>
                <a:ea typeface="Arial"/>
                <a:cs typeface="Arial"/>
              </a:defRPr>
            </a:pPr>
            <a:endParaRPr lang="tr-TR"/>
          </a:p>
        </c:txPr>
        <c:crossAx val="79680256"/>
        <c:crosses val="autoZero"/>
        <c:crossBetween val="between"/>
      </c:valAx>
      <c:spPr>
        <a:noFill/>
        <a:ln w="12700">
          <a:solidFill>
            <a:srgbClr val="808080"/>
          </a:solidFill>
          <a:prstDash val="solid"/>
        </a:ln>
      </c:spPr>
    </c:plotArea>
    <c:legend>
      <c:legendPos val="b"/>
      <c:layout>
        <c:manualLayout>
          <c:xMode val="edge"/>
          <c:yMode val="edge"/>
          <c:x val="7.0676034989916967E-2"/>
          <c:y val="0.86153540276287843"/>
          <c:w val="0.89231448341684527"/>
          <c:h val="9.1722315198405319E-2"/>
        </c:manualLayout>
      </c:layout>
      <c:spPr>
        <a:noFill/>
        <a:ln w="3175">
          <a:solidFill>
            <a:srgbClr val="000000"/>
          </a:solidFill>
          <a:prstDash val="solid"/>
        </a:ln>
      </c:spPr>
      <c:txPr>
        <a:bodyPr/>
        <a:lstStyle/>
        <a:p>
          <a:pPr>
            <a:defRPr sz="735" b="0" i="0" u="none" strike="noStrike" baseline="0">
              <a:solidFill>
                <a:schemeClr val="tx1"/>
              </a:solidFill>
              <a:latin typeface="Arial"/>
              <a:ea typeface="Arial"/>
              <a:cs typeface="Arial"/>
            </a:defRPr>
          </a:pPr>
          <a:endParaRPr lang="tr-TR"/>
        </a:p>
      </c:txPr>
    </c:legend>
    <c:plotVisOnly val="1"/>
    <c:dispBlanksAs val="gap"/>
  </c:chart>
  <c:spPr>
    <a:noFill/>
    <a:ln w="3175">
      <a:solidFill>
        <a:srgbClr val="000000"/>
      </a:solidFill>
      <a:prstDash val="solid"/>
    </a:ln>
  </c:spPr>
  <c:txPr>
    <a:bodyPr/>
    <a:lstStyle/>
    <a:p>
      <a:pPr>
        <a:defRPr sz="1125" b="0" i="0" u="none" strike="noStrike" baseline="0">
          <a:solidFill>
            <a:srgbClr val="000000"/>
          </a:solidFill>
          <a:latin typeface="Arial"/>
          <a:ea typeface="Arial"/>
          <a:cs typeface="Arial"/>
        </a:defRPr>
      </a:pPr>
      <a:endParaRPr lang="tr-TR"/>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tr-TR"/>
  <c:chart>
    <c:title>
      <c:tx>
        <c:rich>
          <a:bodyPr/>
          <a:lstStyle/>
          <a:p>
            <a:pPr>
              <a:defRPr sz="900" b="1" i="0" u="none" strike="noStrike" baseline="0">
                <a:solidFill>
                  <a:schemeClr val="tx1"/>
                </a:solidFill>
                <a:latin typeface="Arial"/>
                <a:ea typeface="Arial"/>
                <a:cs typeface="Arial"/>
              </a:defRPr>
            </a:pPr>
            <a:r>
              <a:rPr lang="tr-TR" sz="900">
                <a:solidFill>
                  <a:schemeClr val="tx1"/>
                </a:solidFill>
              </a:rPr>
              <a:t>         2013 Yılı İlk Altı Aylık Bütçe Uygulama Sonuçları</a:t>
            </a:r>
          </a:p>
        </c:rich>
      </c:tx>
      <c:layout>
        <c:manualLayout>
          <c:xMode val="edge"/>
          <c:yMode val="edge"/>
          <c:x val="0.21216083715473574"/>
          <c:y val="6.9016351074277824E-2"/>
        </c:manualLayout>
      </c:layout>
      <c:spPr>
        <a:noFill/>
        <a:ln w="25400">
          <a:noFill/>
        </a:ln>
      </c:spPr>
    </c:title>
    <c:plotArea>
      <c:layout>
        <c:manualLayout>
          <c:layoutTarget val="inner"/>
          <c:xMode val="edge"/>
          <c:yMode val="edge"/>
          <c:x val="0.12552114509340492"/>
          <c:y val="0.14975148894134474"/>
          <c:w val="0.8554966110476"/>
          <c:h val="0.63964828247672911"/>
        </c:manualLayout>
      </c:layout>
      <c:barChart>
        <c:barDir val="col"/>
        <c:grouping val="clustered"/>
        <c:ser>
          <c:idx val="0"/>
          <c:order val="0"/>
          <c:tx>
            <c:strRef>
              <c:f>Sayfa1!$A$5</c:f>
              <c:strCache>
                <c:ptCount val="1"/>
                <c:pt idx="0">
                  <c:v>2013 Yılı Başlangıç Ödeneği (1000 TL)</c:v>
                </c:pt>
              </c:strCache>
            </c:strRef>
          </c:tx>
          <c:spPr>
            <a:solidFill>
              <a:srgbClr val="E1DBE9"/>
            </a:solidFill>
            <a:ln w="12700">
              <a:solidFill>
                <a:srgbClr val="000000"/>
              </a:solidFill>
              <a:prstDash val="solid"/>
            </a:ln>
          </c:spPr>
          <c:dLbls>
            <c:dLbl>
              <c:idx val="0"/>
              <c:layout>
                <c:manualLayout>
                  <c:x val="-1.9296653338893481E-3"/>
                  <c:y val="6.7255306678898237E-3"/>
                </c:manualLayout>
              </c:layout>
              <c:dLblPos val="outEnd"/>
              <c:showVal val="1"/>
            </c:dLbl>
            <c:spPr>
              <a:noFill/>
              <a:ln w="25400">
                <a:noFill/>
              </a:ln>
            </c:spPr>
            <c:txPr>
              <a:bodyPr/>
              <a:lstStyle/>
              <a:p>
                <a:pPr>
                  <a:defRPr sz="800" b="1" i="0" u="none" strike="noStrike" baseline="0">
                    <a:solidFill>
                      <a:schemeClr val="tx1"/>
                    </a:solidFill>
                    <a:latin typeface="Arial"/>
                    <a:ea typeface="Arial"/>
                    <a:cs typeface="Arial"/>
                  </a:defRPr>
                </a:pPr>
                <a:endParaRPr lang="tr-TR"/>
              </a:p>
            </c:txPr>
            <c:showVal val="1"/>
          </c:dLbls>
          <c:cat>
            <c:strRef>
              <c:f>Sayfa1!$B$4:$F$4</c:f>
              <c:strCache>
                <c:ptCount val="5"/>
                <c:pt idx="0">
                  <c:v>Personel Gideri</c:v>
                </c:pt>
                <c:pt idx="1">
                  <c:v>Sosyal Güv. Kur. Dev Prim Gid.</c:v>
                </c:pt>
                <c:pt idx="2">
                  <c:v>Mal ve Hiz. Alım Gideri</c:v>
                </c:pt>
                <c:pt idx="3">
                  <c:v>Cari Transferler</c:v>
                </c:pt>
                <c:pt idx="4">
                  <c:v>Sermaye  Giderleri</c:v>
                </c:pt>
              </c:strCache>
            </c:strRef>
          </c:cat>
          <c:val>
            <c:numRef>
              <c:f>Sayfa1!$B$5:$F$5</c:f>
              <c:numCache>
                <c:formatCode>#,##0</c:formatCode>
                <c:ptCount val="5"/>
                <c:pt idx="0">
                  <c:v>22810</c:v>
                </c:pt>
                <c:pt idx="1">
                  <c:v>3800</c:v>
                </c:pt>
                <c:pt idx="2">
                  <c:v>2372</c:v>
                </c:pt>
                <c:pt idx="3">
                  <c:v>1600</c:v>
                </c:pt>
                <c:pt idx="4">
                  <c:v>3300</c:v>
                </c:pt>
              </c:numCache>
            </c:numRef>
          </c:val>
        </c:ser>
        <c:ser>
          <c:idx val="1"/>
          <c:order val="1"/>
          <c:tx>
            <c:strRef>
              <c:f>Sayfa1!$A$6</c:f>
              <c:strCache>
                <c:ptCount val="1"/>
                <c:pt idx="0">
                  <c:v>2013 Yılı İlk Altı Aylık Gerçekleşme (1000 TL)</c:v>
                </c:pt>
              </c:strCache>
            </c:strRef>
          </c:tx>
          <c:spPr>
            <a:solidFill>
              <a:srgbClr val="FFCDCD"/>
            </a:solidFill>
            <a:ln w="12700">
              <a:solidFill>
                <a:srgbClr val="000000"/>
              </a:solidFill>
              <a:prstDash val="solid"/>
            </a:ln>
          </c:spPr>
          <c:dLbls>
            <c:dLbl>
              <c:idx val="0"/>
              <c:layout>
                <c:manualLayout>
                  <c:x val="1.2642905618106279E-2"/>
                  <c:y val="-6.9061998318171499E-3"/>
                </c:manualLayout>
              </c:layout>
              <c:dLblPos val="outEnd"/>
              <c:showVal val="1"/>
            </c:dLbl>
            <c:dLbl>
              <c:idx val="1"/>
              <c:layout>
                <c:manualLayout>
                  <c:x val="1.2071691973082796E-2"/>
                  <c:y val="-6.3175598195856107E-3"/>
                </c:manualLayout>
              </c:layout>
              <c:dLblPos val="outEnd"/>
              <c:showVal val="1"/>
            </c:dLbl>
            <c:dLbl>
              <c:idx val="2"/>
              <c:layout>
                <c:manualLayout>
                  <c:x val="1.144863901358131E-2"/>
                  <c:y val="-6.9423846291057694E-3"/>
                </c:manualLayout>
              </c:layout>
              <c:dLblPos val="outEnd"/>
              <c:showVal val="1"/>
            </c:dLbl>
            <c:dLbl>
              <c:idx val="4"/>
              <c:layout>
                <c:manualLayout>
                  <c:x val="1.331779789208592E-2"/>
                  <c:y val="-6.9291338582676814E-3"/>
                </c:manualLayout>
              </c:layout>
              <c:dLblPos val="outEnd"/>
              <c:showVal val="1"/>
            </c:dLbl>
            <c:spPr>
              <a:noFill/>
              <a:ln w="25400">
                <a:noFill/>
              </a:ln>
            </c:spPr>
            <c:txPr>
              <a:bodyPr/>
              <a:lstStyle/>
              <a:p>
                <a:pPr>
                  <a:defRPr sz="800" b="1" i="0" u="none" strike="noStrike" baseline="0">
                    <a:solidFill>
                      <a:schemeClr val="tx1"/>
                    </a:solidFill>
                    <a:latin typeface="Arial"/>
                    <a:ea typeface="Arial"/>
                    <a:cs typeface="Arial"/>
                  </a:defRPr>
                </a:pPr>
                <a:endParaRPr lang="tr-TR"/>
              </a:p>
            </c:txPr>
            <c:showVal val="1"/>
          </c:dLbls>
          <c:cat>
            <c:strRef>
              <c:f>Sayfa1!$B$4:$F$4</c:f>
              <c:strCache>
                <c:ptCount val="5"/>
                <c:pt idx="0">
                  <c:v>Personel Gideri</c:v>
                </c:pt>
                <c:pt idx="1">
                  <c:v>Sosyal Güv. Kur. Dev Prim Gid.</c:v>
                </c:pt>
                <c:pt idx="2">
                  <c:v>Mal ve Hiz. Alım Gideri</c:v>
                </c:pt>
                <c:pt idx="3">
                  <c:v>Cari Transferler</c:v>
                </c:pt>
                <c:pt idx="4">
                  <c:v>Sermaye  Giderleri</c:v>
                </c:pt>
              </c:strCache>
            </c:strRef>
          </c:cat>
          <c:val>
            <c:numRef>
              <c:f>Sayfa1!$B$6:$F$6</c:f>
              <c:numCache>
                <c:formatCode>#,##0</c:formatCode>
                <c:ptCount val="5"/>
                <c:pt idx="0">
                  <c:v>10551</c:v>
                </c:pt>
                <c:pt idx="1">
                  <c:v>1728</c:v>
                </c:pt>
                <c:pt idx="2">
                  <c:v>3839</c:v>
                </c:pt>
                <c:pt idx="3">
                  <c:v>56163</c:v>
                </c:pt>
                <c:pt idx="4">
                  <c:v>121</c:v>
                </c:pt>
              </c:numCache>
            </c:numRef>
          </c:val>
        </c:ser>
        <c:ser>
          <c:idx val="2"/>
          <c:order val="2"/>
          <c:tx>
            <c:strRef>
              <c:f>Sayfa1!$A$7</c:f>
              <c:strCache>
                <c:ptCount val="1"/>
                <c:pt idx="0">
                  <c:v>Gerçekleşme Oranı</c:v>
                </c:pt>
              </c:strCache>
            </c:strRef>
          </c:tx>
          <c:spPr>
            <a:solidFill>
              <a:srgbClr val="00FF00"/>
            </a:solidFill>
            <a:ln w="12700">
              <a:solidFill>
                <a:srgbClr val="000000"/>
              </a:solidFill>
              <a:prstDash val="solid"/>
            </a:ln>
          </c:spPr>
          <c:dLbls>
            <c:dLbl>
              <c:idx val="0"/>
              <c:layout>
                <c:manualLayout>
                  <c:x val="-2.9556117883307052E-2"/>
                  <c:y val="-0.28863258613461168"/>
                </c:manualLayout>
              </c:layout>
              <c:dLblPos val="outEnd"/>
              <c:showVal val="1"/>
            </c:dLbl>
            <c:dLbl>
              <c:idx val="1"/>
              <c:layout>
                <c:manualLayout>
                  <c:x val="-9.9261409615804541E-3"/>
                  <c:y val="-7.4776845454493313E-2"/>
                </c:manualLayout>
              </c:layout>
              <c:dLblPos val="outEnd"/>
              <c:showVal val="1"/>
            </c:dLbl>
            <c:dLbl>
              <c:idx val="2"/>
              <c:layout>
                <c:manualLayout>
                  <c:x val="-1.2894032617864041E-2"/>
                  <c:y val="-9.1934963271823572E-2"/>
                </c:manualLayout>
              </c:layout>
              <c:dLblPos val="outEnd"/>
              <c:showVal val="1"/>
            </c:dLbl>
            <c:dLbl>
              <c:idx val="3"/>
              <c:layout>
                <c:manualLayout>
                  <c:x val="3.2943443244145866E-2"/>
                  <c:y val="-0.56218292522503721"/>
                </c:manualLayout>
              </c:layout>
              <c:tx>
                <c:rich>
                  <a:bodyPr/>
                  <a:lstStyle/>
                  <a:p>
                    <a:r>
                      <a:rPr lang="tr-TR">
                        <a:solidFill>
                          <a:srgbClr val="C00000"/>
                        </a:solidFill>
                      </a:rPr>
                      <a:t>2</a:t>
                    </a:r>
                    <a:r>
                      <a:rPr lang="tr-TR"/>
                      <a:t>00%</a:t>
                    </a:r>
                  </a:p>
                </c:rich>
              </c:tx>
              <c:dLblPos val="outEnd"/>
            </c:dLbl>
            <c:dLbl>
              <c:idx val="4"/>
              <c:layout>
                <c:manualLayout>
                  <c:x val="-1.5697678899436105E-2"/>
                  <c:y val="-7.4701493823119344E-2"/>
                </c:manualLayout>
              </c:layout>
              <c:dLblPos val="outEnd"/>
              <c:showVal val="1"/>
            </c:dLbl>
            <c:numFmt formatCode="0%" sourceLinked="0"/>
            <c:spPr>
              <a:noFill/>
              <a:ln w="25400">
                <a:noFill/>
              </a:ln>
            </c:spPr>
            <c:txPr>
              <a:bodyPr/>
              <a:lstStyle/>
              <a:p>
                <a:pPr>
                  <a:defRPr sz="800" b="1" i="0" u="none" strike="noStrike" baseline="0">
                    <a:solidFill>
                      <a:srgbClr val="C00000"/>
                    </a:solidFill>
                    <a:latin typeface="Arial"/>
                    <a:ea typeface="Arial"/>
                    <a:cs typeface="Arial"/>
                  </a:defRPr>
                </a:pPr>
                <a:endParaRPr lang="tr-TR"/>
              </a:p>
            </c:txPr>
            <c:showVal val="1"/>
          </c:dLbls>
          <c:cat>
            <c:strRef>
              <c:f>Sayfa1!$B$4:$F$4</c:f>
              <c:strCache>
                <c:ptCount val="5"/>
                <c:pt idx="0">
                  <c:v>Personel Gideri</c:v>
                </c:pt>
                <c:pt idx="1">
                  <c:v>Sosyal Güv. Kur. Dev Prim Gid.</c:v>
                </c:pt>
                <c:pt idx="2">
                  <c:v>Mal ve Hiz. Alım Gideri</c:v>
                </c:pt>
                <c:pt idx="3">
                  <c:v>Cari Transferler</c:v>
                </c:pt>
                <c:pt idx="4">
                  <c:v>Sermaye  Giderleri</c:v>
                </c:pt>
              </c:strCache>
            </c:strRef>
          </c:cat>
          <c:val>
            <c:numRef>
              <c:f>Sayfa1!$B$7:$F$7</c:f>
              <c:numCache>
                <c:formatCode>0.00</c:formatCode>
                <c:ptCount val="5"/>
                <c:pt idx="0">
                  <c:v>0.46256028057869358</c:v>
                </c:pt>
                <c:pt idx="1">
                  <c:v>0.45473684210526316</c:v>
                </c:pt>
                <c:pt idx="2">
                  <c:v>1.6184654300168673</c:v>
                </c:pt>
                <c:pt idx="3">
                  <c:v>35.101875</c:v>
                </c:pt>
                <c:pt idx="4">
                  <c:v>3.6666666666666681E-2</c:v>
                </c:pt>
              </c:numCache>
            </c:numRef>
          </c:val>
        </c:ser>
        <c:dLbls>
          <c:showVal val="1"/>
        </c:dLbls>
        <c:axId val="79762176"/>
        <c:axId val="79763712"/>
      </c:barChart>
      <c:catAx>
        <c:axId val="79762176"/>
        <c:scaling>
          <c:orientation val="minMax"/>
        </c:scaling>
        <c:axPos val="b"/>
        <c:numFmt formatCode="General" sourceLinked="1"/>
        <c:tickLblPos val="nextTo"/>
        <c:spPr>
          <a:ln w="3175">
            <a:solidFill>
              <a:srgbClr val="000000"/>
            </a:solidFill>
            <a:prstDash val="solid"/>
          </a:ln>
        </c:spPr>
        <c:txPr>
          <a:bodyPr rot="0" vert="horz"/>
          <a:lstStyle/>
          <a:p>
            <a:pPr>
              <a:defRPr sz="700" b="0" i="0" u="none" strike="noStrike" baseline="0">
                <a:solidFill>
                  <a:schemeClr val="tx1"/>
                </a:solidFill>
                <a:latin typeface="Arial"/>
                <a:ea typeface="Arial"/>
                <a:cs typeface="Arial"/>
              </a:defRPr>
            </a:pPr>
            <a:endParaRPr lang="tr-TR"/>
          </a:p>
        </c:txPr>
        <c:crossAx val="79763712"/>
        <c:crossesAt val="0"/>
        <c:auto val="1"/>
        <c:lblAlgn val="ctr"/>
        <c:lblOffset val="100"/>
        <c:tickLblSkip val="1"/>
        <c:tickMarkSkip val="1"/>
      </c:catAx>
      <c:valAx>
        <c:axId val="79763712"/>
        <c:scaling>
          <c:orientation val="minMax"/>
          <c:min val="0"/>
        </c:scaling>
        <c:axPos val="l"/>
        <c:numFmt formatCode="#,##0" sourceLinked="1"/>
        <c:tickLblPos val="nextTo"/>
        <c:spPr>
          <a:ln w="3175">
            <a:solidFill>
              <a:srgbClr val="000000"/>
            </a:solidFill>
            <a:prstDash val="solid"/>
          </a:ln>
        </c:spPr>
        <c:txPr>
          <a:bodyPr rot="0" vert="horz"/>
          <a:lstStyle/>
          <a:p>
            <a:pPr>
              <a:defRPr sz="900" b="0" i="0" u="none" strike="noStrike" baseline="0">
                <a:solidFill>
                  <a:schemeClr val="tx1"/>
                </a:solidFill>
                <a:latin typeface="Arial"/>
                <a:ea typeface="Arial"/>
                <a:cs typeface="Arial"/>
              </a:defRPr>
            </a:pPr>
            <a:endParaRPr lang="tr-TR"/>
          </a:p>
        </c:txPr>
        <c:crossAx val="79762176"/>
        <c:crossesAt val="1"/>
        <c:crossBetween val="between"/>
      </c:valAx>
      <c:spPr>
        <a:noFill/>
        <a:ln w="12700">
          <a:solidFill>
            <a:srgbClr val="808080"/>
          </a:solidFill>
          <a:prstDash val="solid"/>
        </a:ln>
      </c:spPr>
    </c:plotArea>
    <c:legend>
      <c:legendPos val="b"/>
      <c:layout>
        <c:manualLayout>
          <c:xMode val="edge"/>
          <c:yMode val="edge"/>
          <c:x val="7.2736096667161923E-2"/>
          <c:y val="0.88070974599249452"/>
          <c:w val="0.88939458483919909"/>
          <c:h val="7.697012188544973E-2"/>
        </c:manualLayout>
      </c:layout>
      <c:spPr>
        <a:noFill/>
        <a:ln w="3175">
          <a:solidFill>
            <a:srgbClr val="000000"/>
          </a:solidFill>
          <a:prstDash val="solid"/>
        </a:ln>
      </c:spPr>
      <c:txPr>
        <a:bodyPr/>
        <a:lstStyle/>
        <a:p>
          <a:pPr>
            <a:defRPr sz="735" b="0" i="0" u="none" strike="noStrike" baseline="0">
              <a:solidFill>
                <a:schemeClr val="tx1"/>
              </a:solidFill>
              <a:latin typeface="Arial"/>
              <a:ea typeface="Arial"/>
              <a:cs typeface="Arial"/>
            </a:defRPr>
          </a:pPr>
          <a:endParaRPr lang="tr-TR"/>
        </a:p>
      </c:txPr>
    </c:legend>
    <c:plotVisOnly val="1"/>
    <c:dispBlanksAs val="gap"/>
  </c:chart>
  <c:spPr>
    <a:noFill/>
    <a:ln w="3175">
      <a:solidFill>
        <a:srgbClr val="000000"/>
      </a:solidFill>
      <a:prstDash val="solid"/>
    </a:ln>
  </c:spPr>
  <c:txPr>
    <a:bodyPr/>
    <a:lstStyle/>
    <a:p>
      <a:pPr>
        <a:defRPr sz="1175" b="0" i="0" u="none" strike="noStrike" baseline="0">
          <a:solidFill>
            <a:srgbClr val="000000"/>
          </a:solidFill>
          <a:latin typeface="Arial"/>
          <a:ea typeface="Arial"/>
          <a:cs typeface="Arial"/>
        </a:defRPr>
      </a:pPr>
      <a:endParaRPr lang="tr-TR"/>
    </a:p>
  </c:txPr>
  <c:externalData r:id="rId1"/>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94A8D-A695-463D-B4B8-F77E4AE0D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1672</Words>
  <Characters>9532</Characters>
  <Application>Microsoft Office Word</Application>
  <DocSecurity>0</DocSecurity>
  <Lines>79</Lines>
  <Paragraphs>22</Paragraphs>
  <ScaleCrop>false</ScaleCrop>
  <HeadingPairs>
    <vt:vector size="2" baseType="variant">
      <vt:variant>
        <vt:lpstr>Konu Başlığı</vt:lpstr>
      </vt:variant>
      <vt:variant>
        <vt:i4>1</vt:i4>
      </vt:variant>
    </vt:vector>
  </HeadingPairs>
  <TitlesOfParts>
    <vt:vector size="1" baseType="lpstr">
      <vt:lpstr>GİRİŞ:</vt:lpstr>
    </vt:vector>
  </TitlesOfParts>
  <Company/>
  <LinksUpToDate>false</LinksUpToDate>
  <CharactersWithSpaces>11182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GİRİŞ:</dc:title>
  <dc:creator>3900</dc:creator>
  <cp:lastModifiedBy>zerrin.ekiz</cp:lastModifiedBy>
  <cp:revision>5</cp:revision>
  <cp:lastPrinted>2013-07-30T07:11:00Z</cp:lastPrinted>
  <dcterms:created xsi:type="dcterms:W3CDTF">2013-07-29T13:11:00Z</dcterms:created>
  <dcterms:modified xsi:type="dcterms:W3CDTF">2013-12-31T09:21:00Z</dcterms:modified>
</cp:coreProperties>
</file>