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5031" w14:textId="77777777" w:rsidR="00850E3F" w:rsidRPr="00AA2AEA" w:rsidRDefault="00850E3F" w:rsidP="004E1788">
      <w:pPr>
        <w:ind w:right="72"/>
        <w:jc w:val="both"/>
        <w:rPr>
          <w:b/>
          <w:color w:val="000080"/>
        </w:rPr>
      </w:pPr>
    </w:p>
    <w:p w14:paraId="6EC95B30" w14:textId="77777777" w:rsidR="002E48D2" w:rsidRPr="00AA2AEA" w:rsidRDefault="002E48D2" w:rsidP="002E4ABE">
      <w:pPr>
        <w:ind w:left="1800" w:right="72" w:firstLine="720"/>
        <w:jc w:val="both"/>
        <w:rPr>
          <w:b/>
          <w:color w:val="000080"/>
        </w:rPr>
      </w:pPr>
    </w:p>
    <w:p w14:paraId="3DBC3626" w14:textId="77777777" w:rsidR="002E48D2" w:rsidRPr="00AA2AEA" w:rsidRDefault="002E48D2" w:rsidP="002E4ABE">
      <w:pPr>
        <w:ind w:left="1800" w:right="72" w:firstLine="720"/>
        <w:jc w:val="both"/>
        <w:rPr>
          <w:b/>
          <w:color w:val="000080"/>
        </w:rPr>
      </w:pPr>
    </w:p>
    <w:p w14:paraId="7876376D" w14:textId="77777777" w:rsidR="002E48D2" w:rsidRPr="00AA2AEA" w:rsidRDefault="002E48D2" w:rsidP="00E540DF">
      <w:pPr>
        <w:spacing w:line="276" w:lineRule="auto"/>
        <w:ind w:left="1800" w:right="72" w:firstLine="720"/>
        <w:jc w:val="both"/>
        <w:rPr>
          <w:b/>
          <w:color w:val="000080"/>
        </w:rPr>
      </w:pPr>
    </w:p>
    <w:p w14:paraId="6A3958D1" w14:textId="77777777" w:rsidR="002E48D2" w:rsidRPr="00AA2AEA" w:rsidRDefault="002E48D2" w:rsidP="00E540DF">
      <w:pPr>
        <w:spacing w:line="276" w:lineRule="auto"/>
        <w:ind w:right="72"/>
        <w:jc w:val="both"/>
        <w:rPr>
          <w:b/>
          <w:color w:val="000080"/>
        </w:rPr>
      </w:pPr>
    </w:p>
    <w:p w14:paraId="35112C75" w14:textId="77777777" w:rsidR="002E48D2" w:rsidRPr="00AA2AEA" w:rsidRDefault="002E48D2" w:rsidP="00E540DF">
      <w:pPr>
        <w:spacing w:line="276" w:lineRule="auto"/>
        <w:ind w:left="1800" w:right="72" w:firstLine="720"/>
        <w:jc w:val="both"/>
        <w:rPr>
          <w:b/>
          <w:color w:val="000080"/>
        </w:rPr>
      </w:pPr>
    </w:p>
    <w:p w14:paraId="6EE358DF" w14:textId="77777777" w:rsidR="002E48D2" w:rsidRPr="00AA2AEA" w:rsidRDefault="002E48D2" w:rsidP="00E540DF">
      <w:pPr>
        <w:spacing w:line="276" w:lineRule="auto"/>
        <w:ind w:left="1800" w:right="72" w:firstLine="720"/>
        <w:jc w:val="both"/>
        <w:rPr>
          <w:b/>
          <w:color w:val="000080"/>
        </w:rPr>
      </w:pPr>
    </w:p>
    <w:p w14:paraId="22D55115" w14:textId="77777777" w:rsidR="002E48D2" w:rsidRPr="00AA2AEA" w:rsidRDefault="002E48D2" w:rsidP="00E540DF">
      <w:pPr>
        <w:spacing w:line="276" w:lineRule="auto"/>
        <w:ind w:left="1800" w:right="72" w:firstLine="720"/>
        <w:jc w:val="both"/>
        <w:rPr>
          <w:b/>
          <w:color w:val="000080"/>
        </w:rPr>
      </w:pPr>
    </w:p>
    <w:p w14:paraId="6C946606" w14:textId="77777777" w:rsidR="000D5776" w:rsidRPr="00AA2AEA" w:rsidRDefault="000D5776" w:rsidP="00E540DF">
      <w:pPr>
        <w:spacing w:line="276" w:lineRule="auto"/>
        <w:ind w:right="72"/>
        <w:jc w:val="both"/>
        <w:rPr>
          <w:b/>
          <w:color w:val="000080"/>
        </w:rPr>
      </w:pPr>
    </w:p>
    <w:p w14:paraId="141AD464" w14:textId="77777777" w:rsidR="000D5776" w:rsidRPr="00AA2AEA" w:rsidRDefault="000D5776" w:rsidP="00E540DF">
      <w:pPr>
        <w:spacing w:line="276" w:lineRule="auto"/>
        <w:ind w:left="1800" w:right="72" w:firstLine="720"/>
        <w:jc w:val="both"/>
        <w:rPr>
          <w:b/>
          <w:color w:val="000080"/>
        </w:rPr>
      </w:pPr>
    </w:p>
    <w:p w14:paraId="6452BC7E" w14:textId="77777777" w:rsidR="0089084D" w:rsidRPr="00AA2AEA" w:rsidRDefault="0089084D" w:rsidP="00E540DF">
      <w:pPr>
        <w:tabs>
          <w:tab w:val="left" w:pos="567"/>
        </w:tabs>
        <w:spacing w:line="276" w:lineRule="auto"/>
        <w:jc w:val="center"/>
        <w:rPr>
          <w:b/>
        </w:rPr>
      </w:pPr>
      <w:r w:rsidRPr="00AA2AEA">
        <w:rPr>
          <w:b/>
        </w:rPr>
        <w:t xml:space="preserve">YÜKSEKÖĞRETİM KURULU </w:t>
      </w:r>
    </w:p>
    <w:p w14:paraId="55162881" w14:textId="77777777" w:rsidR="00A842BE" w:rsidRPr="00AA2AEA" w:rsidRDefault="00A842BE" w:rsidP="00E540DF">
      <w:pPr>
        <w:tabs>
          <w:tab w:val="left" w:pos="567"/>
        </w:tabs>
        <w:spacing w:line="276" w:lineRule="auto"/>
        <w:jc w:val="center"/>
        <w:rPr>
          <w:b/>
        </w:rPr>
      </w:pPr>
    </w:p>
    <w:p w14:paraId="4E1CCAEF" w14:textId="77777777" w:rsidR="0089084D" w:rsidRPr="00AA2AEA" w:rsidRDefault="00C01602" w:rsidP="00E540DF">
      <w:pPr>
        <w:tabs>
          <w:tab w:val="left" w:pos="567"/>
        </w:tabs>
        <w:spacing w:line="276" w:lineRule="auto"/>
        <w:jc w:val="center"/>
        <w:rPr>
          <w:b/>
        </w:rPr>
      </w:pPr>
      <w:r w:rsidRPr="00AA2AEA">
        <w:rPr>
          <w:b/>
        </w:rPr>
        <w:t xml:space="preserve">        </w:t>
      </w:r>
      <w:r w:rsidR="0089084D" w:rsidRPr="00AA2AEA">
        <w:rPr>
          <w:b/>
        </w:rPr>
        <w:t>20</w:t>
      </w:r>
      <w:r w:rsidR="00C0052C" w:rsidRPr="00AA2AEA">
        <w:rPr>
          <w:b/>
        </w:rPr>
        <w:t>16</w:t>
      </w:r>
      <w:r w:rsidR="0089084D" w:rsidRPr="00AA2AEA">
        <w:rPr>
          <w:b/>
        </w:rPr>
        <w:t xml:space="preserve"> YILI KURUMSAL MALİ DURUM VE BEKLENTİLER RAPORU</w:t>
      </w:r>
    </w:p>
    <w:p w14:paraId="41A20625" w14:textId="77777777" w:rsidR="00FD4C3E" w:rsidRPr="00AA2AEA" w:rsidRDefault="00FD4C3E" w:rsidP="00E540DF">
      <w:pPr>
        <w:spacing w:line="276" w:lineRule="auto"/>
        <w:ind w:left="1800" w:right="72" w:firstLine="720"/>
        <w:jc w:val="both"/>
        <w:rPr>
          <w:b/>
          <w:color w:val="000080"/>
        </w:rPr>
      </w:pPr>
    </w:p>
    <w:p w14:paraId="7FD292AD" w14:textId="77777777" w:rsidR="00FD4C3E" w:rsidRPr="00AA2AEA" w:rsidRDefault="00FD4C3E" w:rsidP="00E540DF">
      <w:pPr>
        <w:tabs>
          <w:tab w:val="left" w:pos="1843"/>
        </w:tabs>
        <w:spacing w:line="276" w:lineRule="auto"/>
        <w:ind w:left="1800" w:right="72" w:firstLine="720"/>
        <w:jc w:val="both"/>
        <w:rPr>
          <w:b/>
          <w:color w:val="000080"/>
        </w:rPr>
      </w:pPr>
    </w:p>
    <w:p w14:paraId="4C5203DD" w14:textId="77777777" w:rsidR="00A842BE" w:rsidRPr="00AA2AEA" w:rsidRDefault="00A842BE" w:rsidP="00E540DF">
      <w:pPr>
        <w:spacing w:line="276" w:lineRule="auto"/>
        <w:ind w:left="1800" w:right="72" w:firstLine="720"/>
        <w:jc w:val="both"/>
        <w:rPr>
          <w:b/>
          <w:color w:val="000080"/>
        </w:rPr>
      </w:pPr>
    </w:p>
    <w:p w14:paraId="016B096F" w14:textId="77777777" w:rsidR="00FD4C3E" w:rsidRPr="00AA2AEA" w:rsidRDefault="00FD4C3E" w:rsidP="00E540DF">
      <w:pPr>
        <w:spacing w:line="276" w:lineRule="auto"/>
        <w:ind w:left="1800" w:right="72" w:firstLine="720"/>
        <w:jc w:val="both"/>
        <w:rPr>
          <w:b/>
        </w:rPr>
      </w:pPr>
    </w:p>
    <w:p w14:paraId="02559A21" w14:textId="77777777" w:rsidR="009A74F0" w:rsidRPr="00AA2AEA" w:rsidRDefault="009A74F0" w:rsidP="00E540DF">
      <w:pPr>
        <w:spacing w:line="276" w:lineRule="auto"/>
        <w:ind w:left="851" w:right="567" w:firstLine="565"/>
        <w:jc w:val="both"/>
      </w:pPr>
      <w:r w:rsidRPr="00AA2AEA">
        <w:t>5018 sayılı Kamu Mali Y</w:t>
      </w:r>
      <w:r w:rsidR="003F533E" w:rsidRPr="00AA2AEA">
        <w:t xml:space="preserve">önetimi ve Kontrol Kanununun 30 </w:t>
      </w:r>
      <w:r w:rsidRPr="00AA2AEA">
        <w:t xml:space="preserve">uncu maddesinde, genel yönetim kapsamındaki idarelerin, ilk altı aylık bütçe uygulama sonuçları, ikinci altı aya ilişkin beklentiler ve hedefler ile faaliyetlerini Temmuz ayı içinde kamuoyuna açıklayacakları hükme bağlanmıştır. </w:t>
      </w:r>
    </w:p>
    <w:p w14:paraId="29069D50" w14:textId="77777777" w:rsidR="001B06F4" w:rsidRPr="00AA2AEA" w:rsidRDefault="001B06F4" w:rsidP="00E540DF">
      <w:pPr>
        <w:spacing w:line="276" w:lineRule="auto"/>
        <w:ind w:left="851" w:right="567"/>
        <w:jc w:val="both"/>
      </w:pPr>
    </w:p>
    <w:p w14:paraId="7DCDC350" w14:textId="77777777" w:rsidR="00EE0C53" w:rsidRPr="00AA2AEA" w:rsidRDefault="001B06F4" w:rsidP="00E540DF">
      <w:pPr>
        <w:spacing w:line="276" w:lineRule="auto"/>
        <w:ind w:left="851" w:right="567" w:firstLine="565"/>
        <w:jc w:val="both"/>
      </w:pPr>
      <w:r w:rsidRPr="00AA2AEA">
        <w:t>Söz</w:t>
      </w:r>
      <w:r w:rsidR="002E48D2" w:rsidRPr="00AA2AEA">
        <w:t xml:space="preserve"> </w:t>
      </w:r>
      <w:r w:rsidRPr="00AA2AEA">
        <w:t xml:space="preserve">konusu </w:t>
      </w:r>
      <w:r w:rsidR="00EE0C53" w:rsidRPr="00AA2AEA">
        <w:t>düzenleme</w:t>
      </w:r>
      <w:r w:rsidR="00F80379" w:rsidRPr="00AA2AEA">
        <w:t xml:space="preserve"> </w:t>
      </w:r>
      <w:r w:rsidR="002E48D2" w:rsidRPr="00AA2AEA">
        <w:t>ile</w:t>
      </w:r>
      <w:r w:rsidR="00EE0C53" w:rsidRPr="00AA2AEA">
        <w:t xml:space="preserve"> k</w:t>
      </w:r>
      <w:r w:rsidR="009A74F0" w:rsidRPr="00AA2AEA">
        <w:t>amu hizmetlerinin yürütülmesinde ve bütçe uygulamalarında saydamlığın ve hesap verilebilirliğin artır</w:t>
      </w:r>
      <w:r w:rsidR="00823C01" w:rsidRPr="00AA2AEA">
        <w:t xml:space="preserve">ılması, </w:t>
      </w:r>
      <w:r w:rsidR="009A74F0" w:rsidRPr="00AA2AEA">
        <w:t>kamuoyunun kamu idareleri üzerindeki genel denetim ve gözetim fonksiyonunun gereği şekilde gerçekleştirilmesini</w:t>
      </w:r>
      <w:r w:rsidR="00674BE8" w:rsidRPr="00AA2AEA">
        <w:t>n</w:t>
      </w:r>
      <w:r w:rsidR="009A74F0" w:rsidRPr="00AA2AEA">
        <w:t xml:space="preserve"> sağla</w:t>
      </w:r>
      <w:r w:rsidR="00674BE8" w:rsidRPr="00AA2AEA">
        <w:t xml:space="preserve">nması </w:t>
      </w:r>
      <w:r w:rsidR="00EE0C53" w:rsidRPr="00AA2AEA">
        <w:t>amaçlanmıştır.</w:t>
      </w:r>
    </w:p>
    <w:p w14:paraId="59CABCEC" w14:textId="77777777" w:rsidR="001B06F4" w:rsidRPr="00AA2AEA" w:rsidRDefault="001B06F4" w:rsidP="00E540DF">
      <w:pPr>
        <w:spacing w:line="276" w:lineRule="auto"/>
        <w:ind w:left="851" w:right="567"/>
        <w:jc w:val="both"/>
      </w:pPr>
    </w:p>
    <w:p w14:paraId="51BE9EB2" w14:textId="77777777" w:rsidR="009A74F0" w:rsidRPr="00AA2AEA" w:rsidRDefault="00EE0C53" w:rsidP="00E540DF">
      <w:pPr>
        <w:spacing w:line="276" w:lineRule="auto"/>
        <w:ind w:left="851" w:right="567" w:firstLine="565"/>
        <w:jc w:val="both"/>
      </w:pPr>
      <w:r w:rsidRPr="00AA2AEA">
        <w:t>Bu amaç doğrultusunda, g</w:t>
      </w:r>
      <w:r w:rsidR="00D866D4" w:rsidRPr="00AA2AEA">
        <w:t xml:space="preserve">enel </w:t>
      </w:r>
      <w:r w:rsidR="00823C01" w:rsidRPr="00AA2AEA">
        <w:t>yönetim</w:t>
      </w:r>
      <w:r w:rsidR="00D866D4" w:rsidRPr="00AA2AEA">
        <w:t xml:space="preserve"> kapsamındaki kamu idareleri</w:t>
      </w:r>
      <w:r w:rsidR="00C0052C" w:rsidRPr="00AA2AEA">
        <w:t xml:space="preserve"> arasında yer alan Yükseköğretim Kurulu Başkanlığının</w:t>
      </w:r>
      <w:r w:rsidR="00D866D4" w:rsidRPr="00AA2AEA">
        <w:t xml:space="preserve">, </w:t>
      </w:r>
      <w:r w:rsidR="00AA417E" w:rsidRPr="00AA2AEA">
        <w:t>yılın ilk altı aylık dönemine ilişkin bütçe uygulamaları, ikinci altı aya ilişkin beklentiler</w:t>
      </w:r>
      <w:r w:rsidR="00823C01" w:rsidRPr="00AA2AEA">
        <w:t xml:space="preserve"> ve hedefler ile faaliyetlerin yer aldığı </w:t>
      </w:r>
      <w:r w:rsidR="00D866D4" w:rsidRPr="00AA2AEA">
        <w:t>“</w:t>
      </w:r>
      <w:r w:rsidR="002E48D2" w:rsidRPr="00AA2AEA">
        <w:t>201</w:t>
      </w:r>
      <w:r w:rsidR="00C0052C" w:rsidRPr="00AA2AEA">
        <w:t>6</w:t>
      </w:r>
      <w:r w:rsidR="00384D9A" w:rsidRPr="00AA2AEA">
        <w:t xml:space="preserve"> Yılı Kurumsal Mali Durum ve Beklentiler Raporu</w:t>
      </w:r>
      <w:r w:rsidR="00D866D4" w:rsidRPr="00AA2AEA">
        <w:t>” ekleriyle birlikte k</w:t>
      </w:r>
      <w:r w:rsidR="009A74F0" w:rsidRPr="00AA2AEA">
        <w:t>amuoyunun bilgisine sun</w:t>
      </w:r>
      <w:r w:rsidR="00F12CEA" w:rsidRPr="00AA2AEA">
        <w:t>ul</w:t>
      </w:r>
      <w:r w:rsidR="009A74F0" w:rsidRPr="00AA2AEA">
        <w:t xml:space="preserve">muştur. </w:t>
      </w:r>
    </w:p>
    <w:p w14:paraId="18DB0143" w14:textId="77777777" w:rsidR="003F533E" w:rsidRPr="00AA2AEA" w:rsidRDefault="003F533E" w:rsidP="00E540DF">
      <w:pPr>
        <w:spacing w:line="276" w:lineRule="auto"/>
        <w:jc w:val="both"/>
        <w:rPr>
          <w:color w:val="333399"/>
        </w:rPr>
      </w:pPr>
    </w:p>
    <w:p w14:paraId="24CC1EB7" w14:textId="77777777" w:rsidR="00E67545" w:rsidRPr="00AA2AEA" w:rsidRDefault="00E67545" w:rsidP="00E540DF">
      <w:pPr>
        <w:spacing w:line="276" w:lineRule="auto"/>
        <w:jc w:val="both"/>
        <w:rPr>
          <w:color w:val="333399"/>
        </w:rPr>
      </w:pPr>
    </w:p>
    <w:p w14:paraId="45C30EDF" w14:textId="77777777" w:rsidR="00E67545" w:rsidRPr="00AA2AEA" w:rsidRDefault="00E67545" w:rsidP="00E540DF">
      <w:pPr>
        <w:spacing w:line="276" w:lineRule="auto"/>
        <w:jc w:val="both"/>
        <w:rPr>
          <w:color w:val="333399"/>
        </w:rPr>
      </w:pPr>
    </w:p>
    <w:p w14:paraId="671E6A49" w14:textId="77777777" w:rsidR="00E67545" w:rsidRPr="00AA2AEA" w:rsidRDefault="00E67545" w:rsidP="00E540DF">
      <w:pPr>
        <w:spacing w:line="276" w:lineRule="auto"/>
        <w:jc w:val="both"/>
        <w:rPr>
          <w:color w:val="333399"/>
        </w:rPr>
      </w:pPr>
    </w:p>
    <w:p w14:paraId="14E0543B" w14:textId="77777777" w:rsidR="00E67545" w:rsidRPr="00AA2AEA" w:rsidRDefault="00E67545" w:rsidP="00E540DF">
      <w:pPr>
        <w:spacing w:line="276" w:lineRule="auto"/>
        <w:jc w:val="both"/>
        <w:rPr>
          <w:color w:val="333399"/>
        </w:rPr>
      </w:pPr>
    </w:p>
    <w:p w14:paraId="7D0C0983" w14:textId="77777777" w:rsidR="00E67545" w:rsidRPr="00AA2AEA" w:rsidRDefault="00E67545" w:rsidP="00E540DF">
      <w:pPr>
        <w:spacing w:line="276" w:lineRule="auto"/>
        <w:jc w:val="both"/>
        <w:rPr>
          <w:color w:val="333399"/>
        </w:rPr>
      </w:pPr>
    </w:p>
    <w:p w14:paraId="51D5DBA1" w14:textId="77777777" w:rsidR="003D11D4" w:rsidRPr="00AA2AEA" w:rsidRDefault="003D11D4" w:rsidP="00E540DF">
      <w:pPr>
        <w:spacing w:line="276" w:lineRule="auto"/>
        <w:jc w:val="both"/>
        <w:rPr>
          <w:color w:val="333399"/>
        </w:rPr>
      </w:pPr>
    </w:p>
    <w:p w14:paraId="14577ED7" w14:textId="77777777" w:rsidR="00823C01" w:rsidRDefault="00823C01" w:rsidP="00E540DF">
      <w:pPr>
        <w:spacing w:line="276" w:lineRule="auto"/>
        <w:jc w:val="both"/>
        <w:rPr>
          <w:color w:val="333399"/>
        </w:rPr>
      </w:pPr>
    </w:p>
    <w:p w14:paraId="7BA9BF4A" w14:textId="77777777" w:rsidR="00064168" w:rsidRDefault="00064168" w:rsidP="00E540DF">
      <w:pPr>
        <w:spacing w:line="276" w:lineRule="auto"/>
        <w:jc w:val="both"/>
        <w:rPr>
          <w:color w:val="333399"/>
        </w:rPr>
      </w:pPr>
    </w:p>
    <w:p w14:paraId="3A1C7B23" w14:textId="77777777" w:rsidR="00064168" w:rsidRDefault="00064168" w:rsidP="00E540DF">
      <w:pPr>
        <w:spacing w:line="276" w:lineRule="auto"/>
        <w:jc w:val="both"/>
        <w:rPr>
          <w:color w:val="333399"/>
        </w:rPr>
      </w:pPr>
    </w:p>
    <w:p w14:paraId="71ACADED" w14:textId="77777777" w:rsidR="00064168" w:rsidRPr="00AA2AEA" w:rsidRDefault="00064168" w:rsidP="00E540DF">
      <w:pPr>
        <w:spacing w:line="276" w:lineRule="auto"/>
        <w:jc w:val="both"/>
        <w:rPr>
          <w:color w:val="333399"/>
        </w:rPr>
      </w:pPr>
    </w:p>
    <w:p w14:paraId="0899507E" w14:textId="77777777" w:rsidR="002E48D2" w:rsidRPr="00AA2AEA" w:rsidRDefault="002E48D2" w:rsidP="00E540DF">
      <w:pPr>
        <w:spacing w:line="276" w:lineRule="auto"/>
        <w:jc w:val="both"/>
        <w:rPr>
          <w:color w:val="333399"/>
        </w:rPr>
      </w:pPr>
    </w:p>
    <w:p w14:paraId="7CB19AC1" w14:textId="77777777" w:rsidR="00E67545" w:rsidRPr="00AA2AEA" w:rsidRDefault="00E67545" w:rsidP="00E540DF">
      <w:pPr>
        <w:spacing w:line="276" w:lineRule="auto"/>
        <w:jc w:val="both"/>
        <w:rPr>
          <w:color w:val="333399"/>
        </w:rPr>
      </w:pPr>
    </w:p>
    <w:p w14:paraId="448AEC07" w14:textId="77777777" w:rsidR="00E67545" w:rsidRPr="00AA2AEA" w:rsidRDefault="00E67545" w:rsidP="00E540DF">
      <w:pPr>
        <w:spacing w:line="276" w:lineRule="auto"/>
        <w:jc w:val="both"/>
        <w:rPr>
          <w:color w:val="333399"/>
        </w:rPr>
      </w:pPr>
    </w:p>
    <w:p w14:paraId="208DA395" w14:textId="77777777" w:rsidR="00853CCC" w:rsidRPr="00AA2AEA" w:rsidRDefault="00853CCC" w:rsidP="00E540DF">
      <w:pPr>
        <w:spacing w:line="276" w:lineRule="auto"/>
        <w:jc w:val="both"/>
        <w:rPr>
          <w:color w:val="333399"/>
        </w:rPr>
      </w:pPr>
    </w:p>
    <w:p w14:paraId="74C95934" w14:textId="77777777" w:rsidR="00E67545" w:rsidRPr="00AA2AEA" w:rsidRDefault="00961E9B" w:rsidP="00E540DF">
      <w:pPr>
        <w:pStyle w:val="Balk1"/>
        <w:numPr>
          <w:ilvl w:val="0"/>
          <w:numId w:val="1"/>
        </w:numPr>
        <w:spacing w:line="276" w:lineRule="auto"/>
        <w:ind w:right="139"/>
        <w:rPr>
          <w:rFonts w:ascii="Times New Roman" w:hAnsi="Times New Roman" w:cs="Times New Roman"/>
          <w:sz w:val="24"/>
          <w:szCs w:val="24"/>
        </w:rPr>
      </w:pPr>
      <w:r w:rsidRPr="00AA2AEA">
        <w:rPr>
          <w:rFonts w:ascii="Times New Roman" w:hAnsi="Times New Roman" w:cs="Times New Roman"/>
          <w:sz w:val="24"/>
          <w:szCs w:val="24"/>
        </w:rPr>
        <w:t>OCAK-HAZ</w:t>
      </w:r>
      <w:r w:rsidR="00A842BE" w:rsidRPr="00AA2AEA">
        <w:rPr>
          <w:rFonts w:ascii="Times New Roman" w:hAnsi="Times New Roman" w:cs="Times New Roman"/>
          <w:sz w:val="24"/>
          <w:szCs w:val="24"/>
        </w:rPr>
        <w:t>İ</w:t>
      </w:r>
      <w:r w:rsidR="00076B72">
        <w:rPr>
          <w:rFonts w:ascii="Times New Roman" w:hAnsi="Times New Roman" w:cs="Times New Roman"/>
          <w:sz w:val="24"/>
          <w:szCs w:val="24"/>
        </w:rPr>
        <w:t>RAN 2016</w:t>
      </w:r>
      <w:r w:rsidR="00E67545" w:rsidRPr="00AA2AEA">
        <w:rPr>
          <w:rFonts w:ascii="Times New Roman" w:hAnsi="Times New Roman" w:cs="Times New Roman"/>
          <w:sz w:val="24"/>
          <w:szCs w:val="24"/>
        </w:rPr>
        <w:t xml:space="preserve"> DÖNEMİ BÜTÇE UYGULAMA SONUÇLARI</w:t>
      </w:r>
    </w:p>
    <w:p w14:paraId="6B700411" w14:textId="77777777" w:rsidR="00853CCC" w:rsidRPr="00AA2AEA" w:rsidRDefault="00853CCC" w:rsidP="00E540DF">
      <w:pPr>
        <w:tabs>
          <w:tab w:val="left" w:pos="540"/>
        </w:tabs>
        <w:spacing w:line="276" w:lineRule="auto"/>
        <w:ind w:left="1004"/>
        <w:jc w:val="both"/>
        <w:rPr>
          <w:b/>
        </w:rPr>
      </w:pPr>
    </w:p>
    <w:p w14:paraId="4358FAD5" w14:textId="77777777" w:rsidR="00853CCC" w:rsidRPr="00AA2AEA" w:rsidRDefault="00853CCC" w:rsidP="00E540DF">
      <w:pPr>
        <w:tabs>
          <w:tab w:val="left" w:pos="540"/>
        </w:tabs>
        <w:spacing w:line="276" w:lineRule="auto"/>
        <w:ind w:left="1004"/>
        <w:jc w:val="both"/>
        <w:rPr>
          <w:b/>
        </w:rPr>
      </w:pPr>
    </w:p>
    <w:p w14:paraId="479BA48E" w14:textId="77777777" w:rsidR="0089084D" w:rsidRPr="00AA2AEA" w:rsidRDefault="0089084D" w:rsidP="00E540DF">
      <w:pPr>
        <w:tabs>
          <w:tab w:val="left" w:pos="540"/>
        </w:tabs>
        <w:spacing w:line="276" w:lineRule="auto"/>
        <w:ind w:left="1004"/>
        <w:jc w:val="both"/>
        <w:rPr>
          <w:b/>
        </w:rPr>
      </w:pPr>
      <w:r w:rsidRPr="00AA2AEA">
        <w:rPr>
          <w:b/>
        </w:rPr>
        <w:t xml:space="preserve">A.Bütçe Giderleri </w:t>
      </w:r>
    </w:p>
    <w:p w14:paraId="3904B9FF" w14:textId="77777777" w:rsidR="0089084D" w:rsidRPr="00AA2AEA" w:rsidRDefault="0089084D" w:rsidP="00E540DF">
      <w:pPr>
        <w:spacing w:line="276" w:lineRule="auto"/>
      </w:pPr>
    </w:p>
    <w:p w14:paraId="05604062" w14:textId="77777777" w:rsidR="00E67545" w:rsidRPr="00AA2AEA" w:rsidRDefault="00E67545" w:rsidP="00E540DF">
      <w:pPr>
        <w:spacing w:line="276" w:lineRule="auto"/>
        <w:ind w:right="139" w:hanging="76"/>
        <w:jc w:val="both"/>
        <w:rPr>
          <w:bCs/>
        </w:rPr>
      </w:pPr>
    </w:p>
    <w:p w14:paraId="5892B3C9" w14:textId="77777777" w:rsidR="00E67545" w:rsidRPr="00AA2AEA" w:rsidRDefault="001B06F4" w:rsidP="00E540DF">
      <w:pPr>
        <w:spacing w:line="276" w:lineRule="auto"/>
        <w:ind w:right="139" w:hanging="76"/>
        <w:jc w:val="both"/>
      </w:pPr>
      <w:r w:rsidRPr="00AA2AEA">
        <w:rPr>
          <w:bCs/>
        </w:rPr>
        <w:t xml:space="preserve"> </w:t>
      </w:r>
      <w:r w:rsidR="00853CCC" w:rsidRPr="00AA2AEA">
        <w:rPr>
          <w:bCs/>
        </w:rPr>
        <w:tab/>
      </w:r>
      <w:r w:rsidR="00853CCC" w:rsidRPr="00AA2AEA">
        <w:rPr>
          <w:bCs/>
        </w:rPr>
        <w:tab/>
      </w:r>
      <w:r w:rsidR="00DC199C" w:rsidRPr="00AA2AEA">
        <w:rPr>
          <w:bCs/>
        </w:rPr>
        <w:t xml:space="preserve">2016 Yılı Merkezi Yönetim Bütçe Kanunu </w:t>
      </w:r>
      <w:r w:rsidR="00D05025" w:rsidRPr="00AA2AEA">
        <w:rPr>
          <w:bCs/>
        </w:rPr>
        <w:t>16 Mart 2016 tarih ve 29655</w:t>
      </w:r>
      <w:r w:rsidR="00E67545" w:rsidRPr="00AA2AEA">
        <w:t xml:space="preserve"> Mükerrer </w:t>
      </w:r>
      <w:r w:rsidR="00961E9B" w:rsidRPr="00AA2AEA">
        <w:t xml:space="preserve">sayılı </w:t>
      </w:r>
      <w:r w:rsidR="00E67545" w:rsidRPr="00AA2AEA">
        <w:t>Resmi Gazetede yayımlanarak 01.01.20</w:t>
      </w:r>
      <w:r w:rsidR="002E48D2" w:rsidRPr="00AA2AEA">
        <w:t>1</w:t>
      </w:r>
      <w:r w:rsidR="00D05025" w:rsidRPr="00AA2AEA">
        <w:t>6</w:t>
      </w:r>
      <w:r w:rsidR="00E67545" w:rsidRPr="00AA2AEA">
        <w:t xml:space="preserve"> tarihinden itibaren yürürlüğe girmiştir. </w:t>
      </w:r>
    </w:p>
    <w:p w14:paraId="0F080B1A" w14:textId="77777777" w:rsidR="00853CCC" w:rsidRPr="00AA2AEA" w:rsidRDefault="00853CCC" w:rsidP="00E540DF">
      <w:pPr>
        <w:spacing w:line="276" w:lineRule="auto"/>
        <w:ind w:right="139" w:hanging="76"/>
        <w:jc w:val="both"/>
      </w:pPr>
    </w:p>
    <w:p w14:paraId="429E9932" w14:textId="77777777" w:rsidR="00E67545" w:rsidRPr="00AA2AEA" w:rsidRDefault="001B06F4" w:rsidP="00E540DF">
      <w:pPr>
        <w:spacing w:line="276" w:lineRule="auto"/>
        <w:ind w:right="139" w:hanging="76"/>
        <w:jc w:val="both"/>
      </w:pPr>
      <w:r w:rsidRPr="00AA2AEA">
        <w:t xml:space="preserve"> </w:t>
      </w:r>
      <w:r w:rsidR="00853CCC" w:rsidRPr="00AA2AEA">
        <w:tab/>
      </w:r>
      <w:r w:rsidR="00853CCC" w:rsidRPr="00AA2AEA">
        <w:tab/>
      </w:r>
      <w:r w:rsidRPr="00AA2AEA">
        <w:t xml:space="preserve">Yükseköğretim Kurulu </w:t>
      </w:r>
      <w:r w:rsidR="00E67545" w:rsidRPr="00AA2AEA">
        <w:t>Başkanlığına</w:t>
      </w:r>
      <w:r w:rsidR="002D0AE4" w:rsidRPr="00AA2AEA">
        <w:t>,</w:t>
      </w:r>
      <w:r w:rsidR="00E67545" w:rsidRPr="00AA2AEA">
        <w:t xml:space="preserve"> Merkezi Yönetim Bütçe Kanunu ile 20</w:t>
      </w:r>
      <w:r w:rsidR="00982544" w:rsidRPr="00AA2AEA">
        <w:t>16</w:t>
      </w:r>
      <w:r w:rsidR="00E67545" w:rsidRPr="00AA2AEA">
        <w:t xml:space="preserve"> yılında Personel Giderleri için </w:t>
      </w:r>
      <w:r w:rsidR="002D0AE4" w:rsidRPr="00AA2AEA">
        <w:t>32.751.000</w:t>
      </w:r>
      <w:r w:rsidR="002E48D2" w:rsidRPr="00AA2AEA">
        <w:t xml:space="preserve">.-TL, </w:t>
      </w:r>
      <w:r w:rsidR="00E67545" w:rsidRPr="00AA2AEA">
        <w:t xml:space="preserve">Sosyal Güvenlik Kurumlarına Devlet Primi Giderleri için </w:t>
      </w:r>
      <w:r w:rsidR="002D0AE4" w:rsidRPr="00AA2AEA">
        <w:t>4.586</w:t>
      </w:r>
      <w:r w:rsidRPr="00AA2AEA">
        <w:t>.000</w:t>
      </w:r>
      <w:r w:rsidR="002E48D2" w:rsidRPr="00AA2AEA">
        <w:t xml:space="preserve">.-TL, </w:t>
      </w:r>
      <w:r w:rsidR="00E67545" w:rsidRPr="00AA2AEA">
        <w:t xml:space="preserve">Mal ve Hizmet Alım Giderleri için </w:t>
      </w:r>
      <w:r w:rsidR="002D0AE4" w:rsidRPr="00AA2AEA">
        <w:t>3.604</w:t>
      </w:r>
      <w:r w:rsidRPr="00AA2AEA">
        <w:t>.000</w:t>
      </w:r>
      <w:r w:rsidR="002E48D2" w:rsidRPr="00AA2AEA">
        <w:t xml:space="preserve">.-TL, </w:t>
      </w:r>
      <w:r w:rsidR="00E67545" w:rsidRPr="00AA2AEA">
        <w:t xml:space="preserve">Cari Transferler için </w:t>
      </w:r>
      <w:r w:rsidR="002D0AE4" w:rsidRPr="00AA2AEA">
        <w:t>1.911</w:t>
      </w:r>
      <w:r w:rsidRPr="00AA2AEA">
        <w:t>.000</w:t>
      </w:r>
      <w:r w:rsidR="002E48D2" w:rsidRPr="00AA2AEA">
        <w:t>.-TL</w:t>
      </w:r>
      <w:r w:rsidR="00E67545" w:rsidRPr="00AA2AEA">
        <w:t xml:space="preserve"> ve Sermaye Giderleri için </w:t>
      </w:r>
      <w:r w:rsidR="002D0AE4" w:rsidRPr="00AA2AEA">
        <w:t>3.186</w:t>
      </w:r>
      <w:r w:rsidR="00E67545" w:rsidRPr="00AA2AEA">
        <w:t>.000</w:t>
      </w:r>
      <w:r w:rsidR="0025764F" w:rsidRPr="00AA2AEA">
        <w:t>.-TL</w:t>
      </w:r>
      <w:r w:rsidR="00E67545" w:rsidRPr="00AA2AEA">
        <w:t xml:space="preserve"> olmak üzere toplam </w:t>
      </w:r>
      <w:r w:rsidR="002D0AE4" w:rsidRPr="00AA2AEA">
        <w:t>46.038</w:t>
      </w:r>
      <w:r w:rsidRPr="00AA2AEA">
        <w:t>.000</w:t>
      </w:r>
      <w:r w:rsidR="0025764F" w:rsidRPr="00AA2AEA">
        <w:t>.-TL</w:t>
      </w:r>
      <w:r w:rsidR="00E67545" w:rsidRPr="00AA2AEA">
        <w:t xml:space="preserve"> ödenek tahsis edilmiştir.</w:t>
      </w:r>
    </w:p>
    <w:p w14:paraId="5967E835" w14:textId="77777777" w:rsidR="00853CCC" w:rsidRPr="00AA2AEA" w:rsidRDefault="00853CCC" w:rsidP="00E540DF">
      <w:pPr>
        <w:spacing w:line="276" w:lineRule="auto"/>
        <w:ind w:right="139" w:hanging="76"/>
        <w:jc w:val="both"/>
      </w:pPr>
    </w:p>
    <w:p w14:paraId="02441951" w14:textId="77777777" w:rsidR="00E67545" w:rsidRDefault="001B06F4" w:rsidP="00E540DF">
      <w:pPr>
        <w:pStyle w:val="GvdeMetni"/>
        <w:spacing w:line="276" w:lineRule="auto"/>
        <w:ind w:right="139" w:hanging="76"/>
        <w:jc w:val="both"/>
        <w:rPr>
          <w:sz w:val="24"/>
          <w:szCs w:val="24"/>
        </w:rPr>
      </w:pPr>
      <w:r w:rsidRPr="00AA2AEA">
        <w:rPr>
          <w:sz w:val="24"/>
          <w:szCs w:val="24"/>
        </w:rPr>
        <w:t xml:space="preserve"> </w:t>
      </w:r>
      <w:r w:rsidR="00925AEF" w:rsidRPr="00AA2AEA">
        <w:rPr>
          <w:sz w:val="24"/>
          <w:szCs w:val="24"/>
        </w:rPr>
        <w:tab/>
      </w:r>
      <w:r w:rsidR="00925AEF" w:rsidRPr="00AA2AEA">
        <w:rPr>
          <w:sz w:val="24"/>
          <w:szCs w:val="24"/>
        </w:rPr>
        <w:tab/>
      </w:r>
      <w:r w:rsidR="002713DD" w:rsidRPr="00AA2AEA">
        <w:rPr>
          <w:sz w:val="24"/>
          <w:szCs w:val="24"/>
        </w:rPr>
        <w:t>2015</w:t>
      </w:r>
      <w:r w:rsidR="00E67545" w:rsidRPr="00AA2AEA">
        <w:rPr>
          <w:sz w:val="24"/>
          <w:szCs w:val="24"/>
        </w:rPr>
        <w:t xml:space="preserve"> ve 20</w:t>
      </w:r>
      <w:r w:rsidR="002713DD" w:rsidRPr="00AA2AEA">
        <w:rPr>
          <w:sz w:val="24"/>
          <w:szCs w:val="24"/>
        </w:rPr>
        <w:t>16</w:t>
      </w:r>
      <w:r w:rsidR="00E67545" w:rsidRPr="00AA2AEA">
        <w:rPr>
          <w:sz w:val="24"/>
          <w:szCs w:val="24"/>
        </w:rPr>
        <w:t xml:space="preserve"> yıllarına ilişkin başlangıç bütçe ödeneklerinin, analitik bütçe sistemine uygun gider türleri itibariyle dağılımı ve değişim oranları aşağıdaki grafikte </w:t>
      </w:r>
      <w:r w:rsidR="00823C01" w:rsidRPr="00AA2AEA">
        <w:rPr>
          <w:sz w:val="24"/>
          <w:szCs w:val="24"/>
        </w:rPr>
        <w:t>gösterilmiştir</w:t>
      </w:r>
      <w:r w:rsidR="00E67545" w:rsidRPr="00AA2AEA">
        <w:rPr>
          <w:sz w:val="24"/>
          <w:szCs w:val="24"/>
        </w:rPr>
        <w:t>.</w:t>
      </w:r>
    </w:p>
    <w:p w14:paraId="098BE6A9" w14:textId="77777777" w:rsidR="00585979" w:rsidRPr="00AA2AEA" w:rsidRDefault="00585979" w:rsidP="00E540DF">
      <w:pPr>
        <w:pStyle w:val="GvdeMetni"/>
        <w:spacing w:line="276" w:lineRule="auto"/>
        <w:ind w:right="139" w:hanging="76"/>
        <w:jc w:val="both"/>
        <w:rPr>
          <w:sz w:val="24"/>
          <w:szCs w:val="24"/>
        </w:rPr>
      </w:pPr>
    </w:p>
    <w:p w14:paraId="571C97A5" w14:textId="77777777" w:rsidR="00E67545" w:rsidRDefault="00346A11" w:rsidP="00E540DF">
      <w:pPr>
        <w:spacing w:line="276" w:lineRule="auto"/>
      </w:pPr>
      <w:r w:rsidRPr="00AA2AEA">
        <w:t xml:space="preserve"> </w:t>
      </w:r>
    </w:p>
    <w:p w14:paraId="7EF272E3" w14:textId="1AA26B75" w:rsidR="00585979" w:rsidRPr="00AA2AEA" w:rsidRDefault="00CD5FB8" w:rsidP="00E540DF">
      <w:pPr>
        <w:spacing w:line="276" w:lineRule="auto"/>
      </w:pPr>
      <w:r w:rsidRPr="00FF668E">
        <w:rPr>
          <w:noProof/>
        </w:rPr>
        <w:drawing>
          <wp:inline distT="0" distB="0" distL="0" distR="0" wp14:anchorId="529B41C9" wp14:editId="28C14C8C">
            <wp:extent cx="5676900" cy="3200400"/>
            <wp:effectExtent l="0" t="0" r="0" b="0"/>
            <wp:docPr id="1" name="Nesnesi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2E7D34" w14:textId="77777777" w:rsidR="00823C01" w:rsidRPr="00905A6E" w:rsidRDefault="00760A80" w:rsidP="00E540DF">
      <w:pPr>
        <w:pStyle w:val="GvdeMetni"/>
        <w:spacing w:line="276" w:lineRule="auto"/>
        <w:jc w:val="both"/>
        <w:rPr>
          <w:sz w:val="24"/>
          <w:szCs w:val="24"/>
        </w:rPr>
      </w:pPr>
      <w:r w:rsidRPr="00905A6E">
        <w:rPr>
          <w:sz w:val="24"/>
          <w:szCs w:val="24"/>
        </w:rPr>
        <w:t xml:space="preserve">         </w:t>
      </w:r>
      <w:r w:rsidR="006D069A" w:rsidRPr="00905A6E">
        <w:rPr>
          <w:b/>
          <w:sz w:val="24"/>
          <w:szCs w:val="24"/>
        </w:rPr>
        <w:t>Grafik 1:</w:t>
      </w:r>
      <w:r w:rsidR="006D069A" w:rsidRPr="00905A6E">
        <w:rPr>
          <w:sz w:val="24"/>
          <w:szCs w:val="24"/>
        </w:rPr>
        <w:t xml:space="preserve"> 2015 ve 2016 Yılları Karşılaştırmalı Bütçe Başlangıç Ödenekleri</w:t>
      </w:r>
    </w:p>
    <w:p w14:paraId="30860EC8" w14:textId="77777777" w:rsidR="00853CCC" w:rsidRPr="00AA2AEA" w:rsidRDefault="00823C01" w:rsidP="00E540DF">
      <w:pPr>
        <w:pStyle w:val="GvdeMetni"/>
        <w:spacing w:line="276" w:lineRule="auto"/>
        <w:ind w:firstLine="708"/>
        <w:jc w:val="center"/>
        <w:rPr>
          <w:b/>
          <w:sz w:val="24"/>
          <w:szCs w:val="24"/>
        </w:rPr>
      </w:pPr>
      <w:r w:rsidRPr="00AA2AEA">
        <w:rPr>
          <w:b/>
          <w:sz w:val="24"/>
          <w:szCs w:val="24"/>
        </w:rPr>
        <w:t>(EK:1)</w:t>
      </w:r>
    </w:p>
    <w:p w14:paraId="21F1CECC" w14:textId="77777777" w:rsidR="00823C01" w:rsidRDefault="00823C01" w:rsidP="00E540DF">
      <w:pPr>
        <w:pStyle w:val="GvdeMetni"/>
        <w:spacing w:line="276" w:lineRule="auto"/>
        <w:ind w:firstLine="708"/>
        <w:jc w:val="center"/>
        <w:rPr>
          <w:b/>
          <w:sz w:val="24"/>
          <w:szCs w:val="24"/>
        </w:rPr>
      </w:pPr>
    </w:p>
    <w:p w14:paraId="54972E2B" w14:textId="77777777" w:rsidR="00064168" w:rsidRPr="00AA2AEA" w:rsidRDefault="00064168" w:rsidP="00E540DF">
      <w:pPr>
        <w:pStyle w:val="GvdeMetni"/>
        <w:spacing w:line="276" w:lineRule="auto"/>
        <w:ind w:firstLine="708"/>
        <w:jc w:val="center"/>
        <w:rPr>
          <w:b/>
          <w:sz w:val="24"/>
          <w:szCs w:val="24"/>
        </w:rPr>
      </w:pPr>
    </w:p>
    <w:p w14:paraId="46D2FB17" w14:textId="77777777" w:rsidR="00823C01" w:rsidRPr="00AA2AEA" w:rsidRDefault="00823C01" w:rsidP="00E540DF">
      <w:pPr>
        <w:pStyle w:val="GvdeMetni"/>
        <w:spacing w:line="276" w:lineRule="auto"/>
        <w:ind w:firstLine="708"/>
        <w:jc w:val="center"/>
        <w:rPr>
          <w:sz w:val="24"/>
          <w:szCs w:val="24"/>
        </w:rPr>
      </w:pPr>
    </w:p>
    <w:p w14:paraId="26F78889" w14:textId="77777777" w:rsidR="00E67545" w:rsidRPr="00AA2AEA" w:rsidRDefault="00D60620" w:rsidP="00E540DF">
      <w:pPr>
        <w:pStyle w:val="GvdeMetni"/>
        <w:spacing w:line="276" w:lineRule="auto"/>
        <w:ind w:firstLine="708"/>
        <w:jc w:val="both"/>
        <w:rPr>
          <w:b/>
          <w:sz w:val="24"/>
          <w:szCs w:val="24"/>
        </w:rPr>
      </w:pPr>
      <w:r w:rsidRPr="00AA2AEA">
        <w:rPr>
          <w:sz w:val="24"/>
          <w:szCs w:val="24"/>
        </w:rPr>
        <w:t>2015</w:t>
      </w:r>
      <w:r w:rsidR="00E67545" w:rsidRPr="00AA2AEA">
        <w:rPr>
          <w:sz w:val="24"/>
          <w:szCs w:val="24"/>
        </w:rPr>
        <w:t xml:space="preserve"> ve 20</w:t>
      </w:r>
      <w:r w:rsidRPr="00AA2AEA">
        <w:rPr>
          <w:sz w:val="24"/>
          <w:szCs w:val="24"/>
        </w:rPr>
        <w:t>16</w:t>
      </w:r>
      <w:r w:rsidR="00E67545" w:rsidRPr="00AA2AEA">
        <w:rPr>
          <w:sz w:val="24"/>
          <w:szCs w:val="24"/>
        </w:rPr>
        <w:t xml:space="preserve"> Yılları Merkezi Yönetim Bütçe Kanunlarıyla </w:t>
      </w:r>
      <w:r w:rsidR="004C72E6" w:rsidRPr="00AA2AEA">
        <w:rPr>
          <w:sz w:val="24"/>
          <w:szCs w:val="24"/>
        </w:rPr>
        <w:t xml:space="preserve">Yükseköğretim Kurulu </w:t>
      </w:r>
      <w:r w:rsidR="00E67545" w:rsidRPr="00AA2AEA">
        <w:rPr>
          <w:sz w:val="24"/>
          <w:szCs w:val="24"/>
        </w:rPr>
        <w:t xml:space="preserve">Başkanlığına tahsis edilen ödeneklerin Ocak-Haziran dönemi sonu itibariyle fiili gerçekleşmelerine ilişkin ayrıntılı veriler ekli tabloda belirtilmiştir. </w:t>
      </w:r>
      <w:r w:rsidR="00E67545" w:rsidRPr="00AA2AEA">
        <w:rPr>
          <w:b/>
          <w:sz w:val="24"/>
          <w:szCs w:val="24"/>
        </w:rPr>
        <w:t xml:space="preserve">(EK:1) </w:t>
      </w:r>
    </w:p>
    <w:p w14:paraId="013DA7D2" w14:textId="77777777" w:rsidR="00853CCC" w:rsidRPr="00AA2AEA" w:rsidRDefault="00853CCC" w:rsidP="00E540DF">
      <w:pPr>
        <w:pStyle w:val="GvdeMetni"/>
        <w:spacing w:line="276" w:lineRule="auto"/>
        <w:ind w:firstLine="709"/>
        <w:jc w:val="both"/>
        <w:rPr>
          <w:sz w:val="24"/>
          <w:szCs w:val="24"/>
        </w:rPr>
      </w:pPr>
    </w:p>
    <w:p w14:paraId="355BD1AC" w14:textId="77777777" w:rsidR="00E67545" w:rsidRPr="00AA2AEA" w:rsidRDefault="00E67545" w:rsidP="00E540DF">
      <w:pPr>
        <w:pStyle w:val="GvdeMetni"/>
        <w:spacing w:line="276" w:lineRule="auto"/>
        <w:ind w:firstLine="709"/>
        <w:jc w:val="both"/>
        <w:rPr>
          <w:sz w:val="24"/>
          <w:szCs w:val="24"/>
        </w:rPr>
      </w:pPr>
      <w:r w:rsidRPr="00AA2AEA">
        <w:rPr>
          <w:sz w:val="24"/>
          <w:szCs w:val="24"/>
        </w:rPr>
        <w:t>Söz</w:t>
      </w:r>
      <w:r w:rsidR="0025764F" w:rsidRPr="00AA2AEA">
        <w:rPr>
          <w:sz w:val="24"/>
          <w:szCs w:val="24"/>
        </w:rPr>
        <w:t xml:space="preserve"> </w:t>
      </w:r>
      <w:r w:rsidRPr="00AA2AEA">
        <w:rPr>
          <w:sz w:val="24"/>
          <w:szCs w:val="24"/>
        </w:rPr>
        <w:t>konusu tabloda</w:t>
      </w:r>
      <w:r w:rsidRPr="00AA2AEA">
        <w:rPr>
          <w:b/>
          <w:sz w:val="24"/>
          <w:szCs w:val="24"/>
        </w:rPr>
        <w:t xml:space="preserve"> </w:t>
      </w:r>
      <w:r w:rsidR="00D60620" w:rsidRPr="00AA2AEA">
        <w:rPr>
          <w:sz w:val="24"/>
          <w:szCs w:val="24"/>
        </w:rPr>
        <w:t>görüleceği gibi</w:t>
      </w:r>
      <w:r w:rsidR="00D60620" w:rsidRPr="00AA2AEA">
        <w:rPr>
          <w:b/>
          <w:sz w:val="24"/>
          <w:szCs w:val="24"/>
        </w:rPr>
        <w:t xml:space="preserve"> </w:t>
      </w:r>
      <w:r w:rsidR="00734C32" w:rsidRPr="00AA2AEA">
        <w:rPr>
          <w:sz w:val="24"/>
          <w:szCs w:val="24"/>
        </w:rPr>
        <w:t>20</w:t>
      </w:r>
      <w:r w:rsidR="00D60620" w:rsidRPr="00AA2AEA">
        <w:rPr>
          <w:sz w:val="24"/>
          <w:szCs w:val="24"/>
        </w:rPr>
        <w:t>16</w:t>
      </w:r>
      <w:r w:rsidR="00760A80" w:rsidRPr="00AA2AEA">
        <w:rPr>
          <w:sz w:val="24"/>
          <w:szCs w:val="24"/>
        </w:rPr>
        <w:t xml:space="preserve"> yılı Ocak-</w:t>
      </w:r>
      <w:r w:rsidRPr="00AA2AEA">
        <w:rPr>
          <w:sz w:val="24"/>
          <w:szCs w:val="24"/>
        </w:rPr>
        <w:t>H</w:t>
      </w:r>
      <w:r w:rsidR="00D60620" w:rsidRPr="00AA2AEA">
        <w:rPr>
          <w:sz w:val="24"/>
          <w:szCs w:val="24"/>
        </w:rPr>
        <w:t>aziran dönemi harcamaları, 2015</w:t>
      </w:r>
      <w:r w:rsidR="0025764F" w:rsidRPr="00AA2AEA">
        <w:rPr>
          <w:sz w:val="24"/>
          <w:szCs w:val="24"/>
        </w:rPr>
        <w:t xml:space="preserve"> </w:t>
      </w:r>
      <w:r w:rsidR="00D60620" w:rsidRPr="00AA2AEA">
        <w:rPr>
          <w:sz w:val="24"/>
          <w:szCs w:val="24"/>
        </w:rPr>
        <w:t>yılı</w:t>
      </w:r>
      <w:r w:rsidRPr="00AA2AEA">
        <w:rPr>
          <w:sz w:val="24"/>
          <w:szCs w:val="24"/>
        </w:rPr>
        <w:t xml:space="preserve"> </w:t>
      </w:r>
      <w:r w:rsidR="00D60620" w:rsidRPr="00AA2AEA">
        <w:rPr>
          <w:sz w:val="24"/>
          <w:szCs w:val="24"/>
        </w:rPr>
        <w:t xml:space="preserve">aynı döneme </w:t>
      </w:r>
      <w:r w:rsidRPr="00AA2AEA">
        <w:rPr>
          <w:sz w:val="24"/>
          <w:szCs w:val="24"/>
        </w:rPr>
        <w:t>oranla %</w:t>
      </w:r>
      <w:r w:rsidR="005130F9" w:rsidRPr="00AA2AEA">
        <w:rPr>
          <w:sz w:val="24"/>
          <w:szCs w:val="24"/>
        </w:rPr>
        <w:t>20,84 azalarak</w:t>
      </w:r>
      <w:r w:rsidRPr="00AA2AEA">
        <w:rPr>
          <w:sz w:val="24"/>
          <w:szCs w:val="24"/>
        </w:rPr>
        <w:t xml:space="preserve"> </w:t>
      </w:r>
      <w:r w:rsidR="005130F9" w:rsidRPr="00AA2AEA">
        <w:rPr>
          <w:sz w:val="24"/>
          <w:szCs w:val="24"/>
        </w:rPr>
        <w:t>43</w:t>
      </w:r>
      <w:r w:rsidR="00760A80" w:rsidRPr="00AA2AEA">
        <w:rPr>
          <w:sz w:val="24"/>
          <w:szCs w:val="24"/>
        </w:rPr>
        <w:t>.</w:t>
      </w:r>
      <w:r w:rsidR="005130F9" w:rsidRPr="00AA2AEA">
        <w:rPr>
          <w:sz w:val="24"/>
          <w:szCs w:val="24"/>
        </w:rPr>
        <w:t>504.511.-TL olarak gerçekleşmiştir</w:t>
      </w:r>
      <w:r w:rsidRPr="00AA2AEA">
        <w:rPr>
          <w:sz w:val="24"/>
          <w:szCs w:val="24"/>
        </w:rPr>
        <w:t xml:space="preserve">. </w:t>
      </w:r>
    </w:p>
    <w:p w14:paraId="1E8777AC" w14:textId="77777777" w:rsidR="00853CCC" w:rsidRPr="00AA2AEA" w:rsidRDefault="00853CCC" w:rsidP="00E540DF">
      <w:pPr>
        <w:pStyle w:val="GvdeMetni"/>
        <w:spacing w:line="276" w:lineRule="auto"/>
        <w:ind w:firstLine="709"/>
        <w:jc w:val="both"/>
        <w:rPr>
          <w:sz w:val="24"/>
          <w:szCs w:val="24"/>
        </w:rPr>
      </w:pPr>
    </w:p>
    <w:p w14:paraId="4E06CBB3" w14:textId="77777777" w:rsidR="00E67545" w:rsidRPr="00AA2AEA" w:rsidRDefault="00E67545" w:rsidP="00E540DF">
      <w:pPr>
        <w:pStyle w:val="GvdeMetni"/>
        <w:spacing w:line="276" w:lineRule="auto"/>
        <w:ind w:firstLine="709"/>
        <w:jc w:val="both"/>
        <w:rPr>
          <w:sz w:val="24"/>
          <w:szCs w:val="24"/>
        </w:rPr>
      </w:pPr>
      <w:r w:rsidRPr="00AA2AEA">
        <w:rPr>
          <w:sz w:val="24"/>
          <w:szCs w:val="24"/>
        </w:rPr>
        <w:t>20</w:t>
      </w:r>
      <w:r w:rsidR="005130F9" w:rsidRPr="00AA2AEA">
        <w:rPr>
          <w:sz w:val="24"/>
          <w:szCs w:val="24"/>
        </w:rPr>
        <w:t>16</w:t>
      </w:r>
      <w:r w:rsidRPr="00AA2AEA">
        <w:rPr>
          <w:sz w:val="24"/>
          <w:szCs w:val="24"/>
        </w:rPr>
        <w:t xml:space="preserve"> yılı ilk altı aylık bütçe uygulama sonuçları aşağıda</w:t>
      </w:r>
      <w:r w:rsidR="00760A80" w:rsidRPr="00AA2AEA">
        <w:rPr>
          <w:sz w:val="24"/>
          <w:szCs w:val="24"/>
        </w:rPr>
        <w:t xml:space="preserve"> belirtilmiştir:</w:t>
      </w:r>
    </w:p>
    <w:p w14:paraId="75C17BC9" w14:textId="77777777" w:rsidR="005130F9" w:rsidRPr="00AA2AEA" w:rsidRDefault="005130F9" w:rsidP="00E540DF">
      <w:pPr>
        <w:pStyle w:val="GvdeMetni"/>
        <w:spacing w:line="276" w:lineRule="auto"/>
        <w:ind w:firstLine="709"/>
        <w:jc w:val="both"/>
        <w:rPr>
          <w:sz w:val="24"/>
          <w:szCs w:val="24"/>
        </w:rPr>
      </w:pPr>
    </w:p>
    <w:p w14:paraId="1AB6C9CE" w14:textId="77777777" w:rsidR="00E67545" w:rsidRPr="00AA2AEA" w:rsidRDefault="002577A5" w:rsidP="00E540DF">
      <w:pPr>
        <w:pStyle w:val="GvdeMetni"/>
        <w:spacing w:line="276" w:lineRule="auto"/>
        <w:ind w:firstLine="709"/>
        <w:jc w:val="both"/>
        <w:rPr>
          <w:sz w:val="24"/>
          <w:szCs w:val="24"/>
        </w:rPr>
      </w:pPr>
      <w:r w:rsidRPr="00AA2AEA">
        <w:rPr>
          <w:sz w:val="24"/>
          <w:szCs w:val="24"/>
        </w:rPr>
        <w:t>Personel giderleri, 2016</w:t>
      </w:r>
      <w:r w:rsidR="00E67545" w:rsidRPr="00AA2AEA">
        <w:rPr>
          <w:sz w:val="24"/>
          <w:szCs w:val="24"/>
        </w:rPr>
        <w:t xml:space="preserve"> yılının ilk altı ayının gerçekleşme rakamlarına göre </w:t>
      </w:r>
      <w:r w:rsidRPr="00AA2AEA">
        <w:rPr>
          <w:sz w:val="24"/>
          <w:szCs w:val="24"/>
        </w:rPr>
        <w:t xml:space="preserve">yaklaşık </w:t>
      </w:r>
      <w:r w:rsidR="00E67545" w:rsidRPr="00AA2AEA">
        <w:rPr>
          <w:sz w:val="24"/>
          <w:szCs w:val="24"/>
        </w:rPr>
        <w:t>%</w:t>
      </w:r>
      <w:r w:rsidRPr="00AA2AEA">
        <w:rPr>
          <w:sz w:val="24"/>
          <w:szCs w:val="24"/>
        </w:rPr>
        <w:t>61,08</w:t>
      </w:r>
      <w:r w:rsidR="00E67545" w:rsidRPr="00AA2AEA">
        <w:rPr>
          <w:sz w:val="24"/>
          <w:szCs w:val="24"/>
        </w:rPr>
        <w:t xml:space="preserve"> artışla </w:t>
      </w:r>
      <w:r w:rsidRPr="00AA2AEA">
        <w:rPr>
          <w:sz w:val="24"/>
          <w:szCs w:val="24"/>
        </w:rPr>
        <w:t>19.381.305</w:t>
      </w:r>
      <w:r w:rsidR="00760A80" w:rsidRPr="00AA2AEA">
        <w:rPr>
          <w:sz w:val="24"/>
          <w:szCs w:val="24"/>
        </w:rPr>
        <w:t xml:space="preserve">.-TL </w:t>
      </w:r>
      <w:r w:rsidR="00E67545" w:rsidRPr="00AA2AEA">
        <w:rPr>
          <w:sz w:val="24"/>
          <w:szCs w:val="24"/>
        </w:rPr>
        <w:t xml:space="preserve">ve Sosyal Güvenlik Kurumlarına Devlet Primi Giderleri de </w:t>
      </w:r>
      <w:r w:rsidRPr="00AA2AEA">
        <w:rPr>
          <w:sz w:val="24"/>
          <w:szCs w:val="24"/>
        </w:rPr>
        <w:t xml:space="preserve">yaklaşık </w:t>
      </w:r>
      <w:r w:rsidR="00E67545" w:rsidRPr="00AA2AEA">
        <w:rPr>
          <w:sz w:val="24"/>
          <w:szCs w:val="24"/>
        </w:rPr>
        <w:t>%</w:t>
      </w:r>
      <w:r w:rsidRPr="00AA2AEA">
        <w:rPr>
          <w:sz w:val="24"/>
          <w:szCs w:val="24"/>
        </w:rPr>
        <w:t>12,91</w:t>
      </w:r>
      <w:r w:rsidR="00E67545" w:rsidRPr="00AA2AEA">
        <w:rPr>
          <w:sz w:val="24"/>
          <w:szCs w:val="24"/>
        </w:rPr>
        <w:t xml:space="preserve"> artışla </w:t>
      </w:r>
      <w:r w:rsidRPr="00AA2AEA">
        <w:rPr>
          <w:sz w:val="24"/>
          <w:szCs w:val="24"/>
        </w:rPr>
        <w:t>2.237.906</w:t>
      </w:r>
      <w:r w:rsidR="00760A80" w:rsidRPr="00AA2AEA">
        <w:rPr>
          <w:sz w:val="24"/>
          <w:szCs w:val="24"/>
        </w:rPr>
        <w:t xml:space="preserve">.-TL </w:t>
      </w:r>
      <w:r w:rsidR="00E67545" w:rsidRPr="00AA2AEA">
        <w:rPr>
          <w:sz w:val="24"/>
          <w:szCs w:val="24"/>
        </w:rPr>
        <w:t>olarak gerçekleşmiştir</w:t>
      </w:r>
      <w:r w:rsidR="00475F9E" w:rsidRPr="00AA2AEA">
        <w:rPr>
          <w:color w:val="FF0000"/>
          <w:sz w:val="24"/>
          <w:szCs w:val="24"/>
        </w:rPr>
        <w:t xml:space="preserve">. </w:t>
      </w:r>
      <w:r w:rsidR="00475F9E" w:rsidRPr="00AA2AEA">
        <w:rPr>
          <w:sz w:val="24"/>
          <w:szCs w:val="24"/>
        </w:rPr>
        <w:t>Personel giderlerindeki artışın nedeni, 2015 yılının doçentlik</w:t>
      </w:r>
      <w:r w:rsidR="003A46A2" w:rsidRPr="00AA2AEA">
        <w:rPr>
          <w:sz w:val="24"/>
          <w:szCs w:val="24"/>
        </w:rPr>
        <w:t xml:space="preserve"> jürisi ücret ödemelerinin 2016 yılı ilk altı aylık döneminde gerçekleşmesidir.</w:t>
      </w:r>
    </w:p>
    <w:p w14:paraId="71689A02" w14:textId="77777777" w:rsidR="00853CCC" w:rsidRPr="00AA2AEA" w:rsidRDefault="00853CCC" w:rsidP="00E540DF">
      <w:pPr>
        <w:pStyle w:val="GvdeMetni"/>
        <w:spacing w:line="276" w:lineRule="auto"/>
        <w:ind w:firstLine="709"/>
        <w:jc w:val="both"/>
        <w:rPr>
          <w:sz w:val="24"/>
          <w:szCs w:val="24"/>
        </w:rPr>
      </w:pPr>
    </w:p>
    <w:p w14:paraId="54E92514" w14:textId="77777777" w:rsidR="00E67545" w:rsidRDefault="00E67545" w:rsidP="00E540DF">
      <w:pPr>
        <w:pStyle w:val="GvdeMetni"/>
        <w:spacing w:line="276" w:lineRule="auto"/>
        <w:ind w:firstLine="709"/>
        <w:jc w:val="both"/>
        <w:rPr>
          <w:sz w:val="24"/>
          <w:szCs w:val="24"/>
        </w:rPr>
      </w:pPr>
      <w:r w:rsidRPr="00AA2AEA">
        <w:rPr>
          <w:sz w:val="24"/>
          <w:szCs w:val="24"/>
        </w:rPr>
        <w:t xml:space="preserve">Mal ve Hizmet Alım Giderleri bir önceki yılın </w:t>
      </w:r>
      <w:r w:rsidR="00C6216C" w:rsidRPr="00AA2AEA">
        <w:rPr>
          <w:sz w:val="24"/>
          <w:szCs w:val="24"/>
        </w:rPr>
        <w:t>aynı dönemine göre</w:t>
      </w:r>
      <w:r w:rsidR="008A1709" w:rsidRPr="00AA2AEA">
        <w:rPr>
          <w:sz w:val="24"/>
          <w:szCs w:val="24"/>
        </w:rPr>
        <w:t xml:space="preserve"> yaklaşık</w:t>
      </w:r>
      <w:r w:rsidR="00C6216C" w:rsidRPr="00AA2AEA">
        <w:rPr>
          <w:sz w:val="24"/>
          <w:szCs w:val="24"/>
        </w:rPr>
        <w:t xml:space="preserve"> %</w:t>
      </w:r>
      <w:r w:rsidR="008A1709" w:rsidRPr="00AA2AEA">
        <w:rPr>
          <w:sz w:val="24"/>
          <w:szCs w:val="24"/>
        </w:rPr>
        <w:t>6,57</w:t>
      </w:r>
      <w:r w:rsidRPr="00AA2AEA">
        <w:rPr>
          <w:sz w:val="24"/>
          <w:szCs w:val="24"/>
        </w:rPr>
        <w:t xml:space="preserve"> </w:t>
      </w:r>
      <w:r w:rsidR="008A1709" w:rsidRPr="00AA2AEA">
        <w:rPr>
          <w:sz w:val="24"/>
          <w:szCs w:val="24"/>
        </w:rPr>
        <w:t>azalarak</w:t>
      </w:r>
      <w:r w:rsidRPr="00AA2AEA">
        <w:rPr>
          <w:sz w:val="24"/>
          <w:szCs w:val="24"/>
        </w:rPr>
        <w:t xml:space="preserve"> </w:t>
      </w:r>
      <w:r w:rsidR="008A1709" w:rsidRPr="00AA2AEA">
        <w:rPr>
          <w:sz w:val="24"/>
          <w:szCs w:val="24"/>
        </w:rPr>
        <w:t>4.742.153</w:t>
      </w:r>
      <w:r w:rsidR="00760A80" w:rsidRPr="00AA2AEA">
        <w:rPr>
          <w:sz w:val="24"/>
          <w:szCs w:val="24"/>
        </w:rPr>
        <w:t xml:space="preserve">.-TL </w:t>
      </w:r>
      <w:r w:rsidRPr="00AA2AEA">
        <w:rPr>
          <w:sz w:val="24"/>
          <w:szCs w:val="24"/>
        </w:rPr>
        <w:t>olmuş</w:t>
      </w:r>
      <w:r w:rsidR="00625B8F" w:rsidRPr="00AA2AEA">
        <w:rPr>
          <w:sz w:val="24"/>
          <w:szCs w:val="24"/>
        </w:rPr>
        <w:t xml:space="preserve">, Cari Transferler </w:t>
      </w:r>
      <w:r w:rsidR="008A1709" w:rsidRPr="00AA2AEA">
        <w:rPr>
          <w:sz w:val="24"/>
          <w:szCs w:val="24"/>
        </w:rPr>
        <w:t xml:space="preserve">ise yaklaşık </w:t>
      </w:r>
      <w:r w:rsidRPr="00AA2AEA">
        <w:rPr>
          <w:sz w:val="24"/>
          <w:szCs w:val="24"/>
        </w:rPr>
        <w:t>%</w:t>
      </w:r>
      <w:r w:rsidR="008A1709" w:rsidRPr="00AA2AEA">
        <w:rPr>
          <w:sz w:val="24"/>
          <w:szCs w:val="24"/>
        </w:rPr>
        <w:t>55,31</w:t>
      </w:r>
      <w:r w:rsidRPr="00AA2AEA">
        <w:rPr>
          <w:sz w:val="24"/>
          <w:szCs w:val="24"/>
        </w:rPr>
        <w:t xml:space="preserve"> oranında </w:t>
      </w:r>
      <w:r w:rsidR="008A1709" w:rsidRPr="00AA2AEA">
        <w:rPr>
          <w:sz w:val="24"/>
          <w:szCs w:val="24"/>
        </w:rPr>
        <w:t>azalarak</w:t>
      </w:r>
      <w:r w:rsidRPr="00AA2AEA">
        <w:rPr>
          <w:sz w:val="24"/>
          <w:szCs w:val="24"/>
        </w:rPr>
        <w:t xml:space="preserve"> </w:t>
      </w:r>
      <w:r w:rsidR="008A1709" w:rsidRPr="00AA2AEA">
        <w:rPr>
          <w:sz w:val="24"/>
          <w:szCs w:val="24"/>
        </w:rPr>
        <w:t>15.975.534</w:t>
      </w:r>
      <w:r w:rsidR="00760A80" w:rsidRPr="00AA2AEA">
        <w:rPr>
          <w:sz w:val="24"/>
          <w:szCs w:val="24"/>
        </w:rPr>
        <w:t>.-TL</w:t>
      </w:r>
      <w:r w:rsidR="007E51D1" w:rsidRPr="00AA2AEA">
        <w:rPr>
          <w:sz w:val="24"/>
          <w:szCs w:val="24"/>
        </w:rPr>
        <w:t xml:space="preserve"> </w:t>
      </w:r>
      <w:r w:rsidR="008A1709" w:rsidRPr="00AA2AEA">
        <w:rPr>
          <w:sz w:val="24"/>
          <w:szCs w:val="24"/>
        </w:rPr>
        <w:t xml:space="preserve">olarak gerçekleşmiştir. </w:t>
      </w:r>
    </w:p>
    <w:p w14:paraId="0F404EE7" w14:textId="77777777" w:rsidR="003608D8" w:rsidRDefault="003608D8" w:rsidP="00E540DF">
      <w:pPr>
        <w:pStyle w:val="GvdeMetni"/>
        <w:spacing w:line="276" w:lineRule="auto"/>
        <w:ind w:firstLine="709"/>
        <w:jc w:val="both"/>
        <w:rPr>
          <w:sz w:val="24"/>
          <w:szCs w:val="24"/>
        </w:rPr>
      </w:pPr>
    </w:p>
    <w:p w14:paraId="311FB734" w14:textId="77777777" w:rsidR="003608D8" w:rsidRPr="00AA2AEA" w:rsidRDefault="003608D8" w:rsidP="00E540DF">
      <w:pPr>
        <w:pStyle w:val="GvdeMetni"/>
        <w:spacing w:line="276" w:lineRule="auto"/>
        <w:ind w:firstLine="709"/>
        <w:jc w:val="both"/>
        <w:rPr>
          <w:sz w:val="24"/>
          <w:szCs w:val="24"/>
        </w:rPr>
      </w:pPr>
      <w:r>
        <w:rPr>
          <w:sz w:val="24"/>
          <w:szCs w:val="24"/>
        </w:rPr>
        <w:t>Sermaye Giderleri bir önceki yılın aynı dönemine göre yaklaşık % 866,10</w:t>
      </w:r>
      <w:r w:rsidR="00546553">
        <w:rPr>
          <w:sz w:val="24"/>
          <w:szCs w:val="24"/>
        </w:rPr>
        <w:t xml:space="preserve"> artışla 1.167.614.-TL olarak gerçekleşmiştir. Sermaye giderlerindeki artışın nedeni, Kurulumuz Başkanlığına taşıt alımının yapılmış olmasıdır. </w:t>
      </w:r>
    </w:p>
    <w:p w14:paraId="28C42414" w14:textId="77777777" w:rsidR="00853CCC" w:rsidRPr="00AA2AEA" w:rsidRDefault="00853CCC" w:rsidP="00E540DF">
      <w:pPr>
        <w:pStyle w:val="GvdeMetni"/>
        <w:spacing w:line="276" w:lineRule="auto"/>
        <w:ind w:firstLine="709"/>
        <w:jc w:val="both"/>
        <w:rPr>
          <w:sz w:val="24"/>
          <w:szCs w:val="24"/>
        </w:rPr>
      </w:pPr>
    </w:p>
    <w:p w14:paraId="07A8D31C" w14:textId="77777777" w:rsidR="004B1F4E" w:rsidRDefault="004C72E6" w:rsidP="00E540DF">
      <w:pPr>
        <w:pStyle w:val="GvdeMetni"/>
        <w:spacing w:line="276" w:lineRule="auto"/>
        <w:ind w:firstLine="709"/>
        <w:jc w:val="both"/>
        <w:rPr>
          <w:sz w:val="24"/>
          <w:szCs w:val="24"/>
        </w:rPr>
      </w:pPr>
      <w:r w:rsidRPr="00AA2AEA">
        <w:rPr>
          <w:sz w:val="24"/>
          <w:szCs w:val="24"/>
        </w:rPr>
        <w:t xml:space="preserve">Yükseköğretim Kurulu </w:t>
      </w:r>
      <w:r w:rsidR="003C4D55" w:rsidRPr="00AA2AEA">
        <w:rPr>
          <w:sz w:val="24"/>
          <w:szCs w:val="24"/>
        </w:rPr>
        <w:t>Başkanlığına 2015 ve 2016</w:t>
      </w:r>
      <w:r w:rsidR="004B1F4E" w:rsidRPr="00AA2AEA">
        <w:rPr>
          <w:sz w:val="24"/>
          <w:szCs w:val="24"/>
        </w:rPr>
        <w:t xml:space="preserve"> yıllarında tahsis edilen başlangıç ödenekleri ve bu ödeneklerden ilk altışar aylık dönemlerde gerçekleşen harcama tutarları ve oranları aşağıdaki grafiklerde gösterilmiştir.</w:t>
      </w:r>
    </w:p>
    <w:p w14:paraId="72B7835B" w14:textId="77777777" w:rsidR="00064168" w:rsidRPr="00AA2AEA" w:rsidRDefault="00064168" w:rsidP="00E540DF">
      <w:pPr>
        <w:pStyle w:val="GvdeMetni"/>
        <w:spacing w:line="276" w:lineRule="auto"/>
        <w:ind w:firstLine="709"/>
        <w:jc w:val="both"/>
        <w:rPr>
          <w:sz w:val="24"/>
          <w:szCs w:val="24"/>
        </w:rPr>
      </w:pPr>
    </w:p>
    <w:p w14:paraId="05371E04" w14:textId="77777777" w:rsidR="00F83E9D" w:rsidRPr="00AA2AEA" w:rsidRDefault="00F83E9D" w:rsidP="00E540DF">
      <w:pPr>
        <w:pStyle w:val="GvdeMetni"/>
        <w:spacing w:line="276" w:lineRule="auto"/>
        <w:jc w:val="both"/>
        <w:rPr>
          <w:b/>
          <w:bCs/>
          <w:sz w:val="24"/>
          <w:szCs w:val="24"/>
          <w:u w:val="single"/>
        </w:rPr>
      </w:pPr>
    </w:p>
    <w:p w14:paraId="2E873EEB" w14:textId="77777777" w:rsidR="007E51D1" w:rsidRPr="00AA2AEA" w:rsidRDefault="00355133" w:rsidP="00E540DF">
      <w:pPr>
        <w:pStyle w:val="GvdeMetni"/>
        <w:spacing w:before="120" w:after="120" w:line="276" w:lineRule="auto"/>
        <w:ind w:left="284" w:right="-108" w:hanging="284"/>
        <w:jc w:val="both"/>
        <w:rPr>
          <w:color w:val="333399"/>
          <w:sz w:val="24"/>
          <w:szCs w:val="24"/>
        </w:rPr>
      </w:pPr>
      <w:r w:rsidRPr="00AA2AEA">
        <w:rPr>
          <w:color w:val="333399"/>
          <w:sz w:val="24"/>
          <w:szCs w:val="24"/>
        </w:rPr>
        <w:t xml:space="preserve">     </w:t>
      </w:r>
    </w:p>
    <w:p w14:paraId="15859172" w14:textId="77777777" w:rsidR="0033737C" w:rsidRPr="00AA2AEA" w:rsidRDefault="0033737C" w:rsidP="00E540DF">
      <w:pPr>
        <w:pStyle w:val="GvdeMetni"/>
        <w:spacing w:before="120" w:after="120" w:line="276" w:lineRule="auto"/>
        <w:ind w:left="284" w:right="-108" w:hanging="284"/>
        <w:jc w:val="both"/>
        <w:rPr>
          <w:color w:val="333399"/>
          <w:sz w:val="24"/>
          <w:szCs w:val="24"/>
        </w:rPr>
      </w:pPr>
    </w:p>
    <w:p w14:paraId="40296E3F" w14:textId="77777777" w:rsidR="00562D90" w:rsidRPr="00AA2AEA" w:rsidRDefault="00355133" w:rsidP="00E540DF">
      <w:pPr>
        <w:pStyle w:val="GvdeMetni"/>
        <w:spacing w:before="120" w:after="120" w:line="276" w:lineRule="auto"/>
        <w:ind w:right="-288"/>
        <w:jc w:val="both"/>
        <w:rPr>
          <w:color w:val="333399"/>
          <w:sz w:val="24"/>
          <w:szCs w:val="24"/>
        </w:rPr>
      </w:pPr>
      <w:r w:rsidRPr="00AA2AEA">
        <w:rPr>
          <w:color w:val="333399"/>
          <w:sz w:val="24"/>
          <w:szCs w:val="24"/>
        </w:rPr>
        <w:t xml:space="preserve">     </w:t>
      </w:r>
    </w:p>
    <w:p w14:paraId="10774AB2" w14:textId="77777777" w:rsidR="00562D90" w:rsidRDefault="00562D90" w:rsidP="00E540DF">
      <w:pPr>
        <w:pStyle w:val="GvdeMetni"/>
        <w:spacing w:before="120" w:after="120" w:line="276" w:lineRule="auto"/>
        <w:ind w:right="-288" w:firstLine="708"/>
        <w:jc w:val="both"/>
        <w:rPr>
          <w:color w:val="333399"/>
          <w:sz w:val="24"/>
          <w:szCs w:val="24"/>
        </w:rPr>
      </w:pPr>
    </w:p>
    <w:p w14:paraId="4B79400B" w14:textId="77777777" w:rsidR="00064168" w:rsidRDefault="00064168" w:rsidP="00E540DF">
      <w:pPr>
        <w:pStyle w:val="GvdeMetni"/>
        <w:spacing w:before="120" w:after="120" w:line="276" w:lineRule="auto"/>
        <w:ind w:right="-288" w:firstLine="708"/>
        <w:jc w:val="both"/>
        <w:rPr>
          <w:color w:val="333399"/>
          <w:sz w:val="24"/>
          <w:szCs w:val="24"/>
        </w:rPr>
      </w:pPr>
    </w:p>
    <w:p w14:paraId="059AB460" w14:textId="77777777" w:rsidR="00064168" w:rsidRDefault="00064168" w:rsidP="00E540DF">
      <w:pPr>
        <w:pStyle w:val="GvdeMetni"/>
        <w:spacing w:before="120" w:after="120" w:line="276" w:lineRule="auto"/>
        <w:ind w:right="-288" w:firstLine="708"/>
        <w:jc w:val="both"/>
        <w:rPr>
          <w:color w:val="333399"/>
          <w:sz w:val="24"/>
          <w:szCs w:val="24"/>
        </w:rPr>
      </w:pPr>
    </w:p>
    <w:p w14:paraId="1B067A34" w14:textId="77777777" w:rsidR="00064168" w:rsidRDefault="00064168" w:rsidP="00E540DF">
      <w:pPr>
        <w:pStyle w:val="GvdeMetni"/>
        <w:spacing w:before="120" w:after="120" w:line="276" w:lineRule="auto"/>
        <w:ind w:right="-288" w:firstLine="708"/>
        <w:jc w:val="both"/>
        <w:rPr>
          <w:color w:val="333399"/>
          <w:sz w:val="24"/>
          <w:szCs w:val="24"/>
        </w:rPr>
      </w:pPr>
    </w:p>
    <w:p w14:paraId="628AE0A0" w14:textId="77777777" w:rsidR="00064168" w:rsidRPr="00AA2AEA" w:rsidRDefault="00064168" w:rsidP="00E540DF">
      <w:pPr>
        <w:pStyle w:val="GvdeMetni"/>
        <w:spacing w:before="120" w:after="120" w:line="276" w:lineRule="auto"/>
        <w:ind w:right="-288" w:firstLine="708"/>
        <w:jc w:val="both"/>
        <w:rPr>
          <w:color w:val="333399"/>
          <w:sz w:val="24"/>
          <w:szCs w:val="24"/>
        </w:rPr>
      </w:pPr>
    </w:p>
    <w:p w14:paraId="04D83BC3" w14:textId="77777777" w:rsidR="00E67545" w:rsidRPr="00AA2AEA" w:rsidRDefault="00E67545" w:rsidP="00E540DF">
      <w:pPr>
        <w:pStyle w:val="GvdeMetni"/>
        <w:spacing w:before="120" w:after="120" w:line="276" w:lineRule="auto"/>
        <w:ind w:right="139" w:firstLine="708"/>
        <w:jc w:val="both"/>
        <w:rPr>
          <w:sz w:val="24"/>
          <w:szCs w:val="24"/>
        </w:rPr>
      </w:pPr>
      <w:r w:rsidRPr="00AA2AEA">
        <w:rPr>
          <w:sz w:val="24"/>
          <w:szCs w:val="24"/>
        </w:rPr>
        <w:t>Başkanlığımız harcama birimlerinin, 20</w:t>
      </w:r>
      <w:r w:rsidR="00CA5906" w:rsidRPr="00AA2AEA">
        <w:rPr>
          <w:sz w:val="24"/>
          <w:szCs w:val="24"/>
        </w:rPr>
        <w:t>16</w:t>
      </w:r>
      <w:r w:rsidRPr="00AA2AEA">
        <w:rPr>
          <w:sz w:val="24"/>
          <w:szCs w:val="24"/>
        </w:rPr>
        <w:t xml:space="preserve"> yılının ilk altı ayında gerçekleştirdikleri bütçe giderleri ve başlangıç ödeneklerine göre gerçekleşme oranları ise aşağıdaki </w:t>
      </w:r>
      <w:r w:rsidR="00355133" w:rsidRPr="00AA2AEA">
        <w:rPr>
          <w:sz w:val="24"/>
          <w:szCs w:val="24"/>
        </w:rPr>
        <w:t>tabloda gösterildiği şekildedir:</w:t>
      </w:r>
    </w:p>
    <w:p w14:paraId="76794EF3" w14:textId="29737E46" w:rsidR="00E67545" w:rsidRDefault="00CD5FB8" w:rsidP="00E540DF">
      <w:pPr>
        <w:pStyle w:val="GvdeMetni"/>
        <w:spacing w:line="276" w:lineRule="auto"/>
        <w:jc w:val="both"/>
      </w:pPr>
      <w:r w:rsidRPr="008264A0">
        <w:rPr>
          <w:noProof/>
        </w:rPr>
        <w:lastRenderedPageBreak/>
        <w:drawing>
          <wp:inline distT="0" distB="0" distL="0" distR="0" wp14:anchorId="29378EAB" wp14:editId="264B150E">
            <wp:extent cx="5495925" cy="3209925"/>
            <wp:effectExtent l="0" t="0" r="0" b="0"/>
            <wp:docPr id="2"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D6B970" w14:textId="77777777" w:rsidR="00317F2C" w:rsidRDefault="00317F2C" w:rsidP="00E540DF">
      <w:pPr>
        <w:pStyle w:val="GvdeMetni"/>
        <w:spacing w:line="276" w:lineRule="auto"/>
        <w:jc w:val="both"/>
        <w:rPr>
          <w:sz w:val="24"/>
          <w:szCs w:val="24"/>
        </w:rPr>
      </w:pPr>
      <w:r w:rsidRPr="00317F2C">
        <w:rPr>
          <w:b/>
          <w:sz w:val="24"/>
          <w:szCs w:val="24"/>
        </w:rPr>
        <w:t>Grafik 2:</w:t>
      </w:r>
      <w:r>
        <w:rPr>
          <w:sz w:val="24"/>
          <w:szCs w:val="24"/>
        </w:rPr>
        <w:t xml:space="preserve"> 2015 Yılı İlk Altı Aylık Bütçe Uygulama Sonuçları</w:t>
      </w:r>
    </w:p>
    <w:p w14:paraId="1694CC97" w14:textId="77777777" w:rsidR="002F1A73" w:rsidRPr="00317F2C" w:rsidRDefault="002F1A73" w:rsidP="00E540DF">
      <w:pPr>
        <w:pStyle w:val="GvdeMetni"/>
        <w:spacing w:line="276" w:lineRule="auto"/>
        <w:jc w:val="both"/>
        <w:rPr>
          <w:color w:val="333399"/>
          <w:sz w:val="24"/>
          <w:szCs w:val="24"/>
        </w:rPr>
      </w:pPr>
    </w:p>
    <w:p w14:paraId="65797A98" w14:textId="77777777" w:rsidR="00317F2C" w:rsidRDefault="00317F2C" w:rsidP="00E540DF">
      <w:pPr>
        <w:pStyle w:val="GvdeMetni"/>
        <w:spacing w:line="276" w:lineRule="auto"/>
        <w:jc w:val="both"/>
        <w:rPr>
          <w:color w:val="333399"/>
          <w:sz w:val="24"/>
          <w:szCs w:val="24"/>
        </w:rPr>
      </w:pPr>
    </w:p>
    <w:p w14:paraId="00610CD6" w14:textId="4FF97179" w:rsidR="00317F2C" w:rsidRDefault="00CD5FB8" w:rsidP="00E540DF">
      <w:pPr>
        <w:pStyle w:val="GvdeMetni"/>
        <w:spacing w:line="276" w:lineRule="auto"/>
        <w:jc w:val="both"/>
        <w:rPr>
          <w:color w:val="333399"/>
          <w:sz w:val="24"/>
          <w:szCs w:val="24"/>
        </w:rPr>
      </w:pPr>
      <w:r w:rsidRPr="00C42322">
        <w:rPr>
          <w:noProof/>
        </w:rPr>
        <w:drawing>
          <wp:inline distT="0" distB="0" distL="0" distR="0" wp14:anchorId="5368F702" wp14:editId="60419B8E">
            <wp:extent cx="5495925" cy="3209925"/>
            <wp:effectExtent l="0" t="0" r="0" b="0"/>
            <wp:docPr id="3"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362BA3" w14:textId="77777777" w:rsidR="002F1A73" w:rsidRDefault="002F1A73" w:rsidP="002F1A73">
      <w:pPr>
        <w:pStyle w:val="GvdeMetni"/>
        <w:spacing w:line="276" w:lineRule="auto"/>
        <w:jc w:val="both"/>
        <w:rPr>
          <w:color w:val="333399"/>
          <w:sz w:val="24"/>
          <w:szCs w:val="24"/>
        </w:rPr>
      </w:pPr>
    </w:p>
    <w:p w14:paraId="0734C10B" w14:textId="77777777" w:rsidR="002F1A73" w:rsidRPr="00317F2C" w:rsidRDefault="002F1A73" w:rsidP="002F1A73">
      <w:pPr>
        <w:pStyle w:val="GvdeMetni"/>
        <w:spacing w:line="276" w:lineRule="auto"/>
        <w:jc w:val="both"/>
        <w:rPr>
          <w:color w:val="333399"/>
          <w:sz w:val="24"/>
          <w:szCs w:val="24"/>
        </w:rPr>
      </w:pPr>
      <w:r>
        <w:rPr>
          <w:b/>
          <w:sz w:val="24"/>
          <w:szCs w:val="24"/>
        </w:rPr>
        <w:t>Grafik 3</w:t>
      </w:r>
      <w:r w:rsidRPr="00317F2C">
        <w:rPr>
          <w:b/>
          <w:sz w:val="24"/>
          <w:szCs w:val="24"/>
        </w:rPr>
        <w:t>:</w:t>
      </w:r>
      <w:r>
        <w:rPr>
          <w:sz w:val="24"/>
          <w:szCs w:val="24"/>
        </w:rPr>
        <w:t xml:space="preserve"> 2016 Yılı İlk Altı Aylık Bütçe Uygulama Sonuçları</w:t>
      </w:r>
    </w:p>
    <w:p w14:paraId="0DDE8709" w14:textId="77777777" w:rsidR="00317F2C" w:rsidRDefault="00317F2C" w:rsidP="00E540DF">
      <w:pPr>
        <w:pStyle w:val="GvdeMetni"/>
        <w:spacing w:line="276" w:lineRule="auto"/>
        <w:jc w:val="both"/>
        <w:rPr>
          <w:color w:val="333399"/>
          <w:sz w:val="24"/>
          <w:szCs w:val="24"/>
        </w:rPr>
      </w:pPr>
    </w:p>
    <w:p w14:paraId="2CEF150D" w14:textId="77777777" w:rsidR="00317F2C" w:rsidRDefault="00317F2C" w:rsidP="00E540DF">
      <w:pPr>
        <w:pStyle w:val="GvdeMetni"/>
        <w:spacing w:line="276" w:lineRule="auto"/>
        <w:jc w:val="both"/>
        <w:rPr>
          <w:color w:val="333399"/>
          <w:sz w:val="24"/>
          <w:szCs w:val="24"/>
        </w:rPr>
      </w:pPr>
    </w:p>
    <w:p w14:paraId="6B0750B6" w14:textId="77777777" w:rsidR="002F1A73" w:rsidRDefault="002F1A73" w:rsidP="00E540DF">
      <w:pPr>
        <w:pStyle w:val="GvdeMetni"/>
        <w:spacing w:line="276" w:lineRule="auto"/>
        <w:jc w:val="both"/>
        <w:rPr>
          <w:color w:val="333399"/>
          <w:sz w:val="24"/>
          <w:szCs w:val="24"/>
        </w:rPr>
      </w:pPr>
    </w:p>
    <w:p w14:paraId="12B050C7" w14:textId="77777777" w:rsidR="002F1A73" w:rsidRDefault="002F1A73" w:rsidP="00E540DF">
      <w:pPr>
        <w:pStyle w:val="GvdeMetni"/>
        <w:spacing w:line="276" w:lineRule="auto"/>
        <w:jc w:val="both"/>
        <w:rPr>
          <w:color w:val="333399"/>
          <w:sz w:val="24"/>
          <w:szCs w:val="24"/>
        </w:rPr>
      </w:pPr>
    </w:p>
    <w:p w14:paraId="1117A31C" w14:textId="77777777" w:rsidR="002F1A73" w:rsidRDefault="002F1A73" w:rsidP="00E540DF">
      <w:pPr>
        <w:pStyle w:val="GvdeMetni"/>
        <w:spacing w:line="276" w:lineRule="auto"/>
        <w:jc w:val="both"/>
        <w:rPr>
          <w:color w:val="333399"/>
          <w:sz w:val="24"/>
          <w:szCs w:val="24"/>
        </w:rPr>
      </w:pPr>
    </w:p>
    <w:p w14:paraId="52D92138" w14:textId="77777777" w:rsidR="00317F2C" w:rsidRDefault="00317F2C" w:rsidP="00E540DF">
      <w:pPr>
        <w:pStyle w:val="GvdeMetni"/>
        <w:spacing w:line="276" w:lineRule="auto"/>
        <w:jc w:val="both"/>
        <w:rPr>
          <w:color w:val="333399"/>
          <w:sz w:val="24"/>
          <w:szCs w:val="24"/>
        </w:rPr>
      </w:pPr>
    </w:p>
    <w:p w14:paraId="6EDC3616" w14:textId="77777777" w:rsidR="00317F2C" w:rsidRPr="00AA2AEA" w:rsidRDefault="00317F2C" w:rsidP="00E540DF">
      <w:pPr>
        <w:pStyle w:val="GvdeMetni"/>
        <w:spacing w:line="276" w:lineRule="auto"/>
        <w:jc w:val="both"/>
        <w:rPr>
          <w:color w:val="333399"/>
          <w:sz w:val="24"/>
          <w:szCs w:val="24"/>
        </w:rPr>
      </w:pPr>
    </w:p>
    <w:tbl>
      <w:tblPr>
        <w:tblW w:w="8132" w:type="dxa"/>
        <w:jc w:val="center"/>
        <w:tblCellMar>
          <w:left w:w="70" w:type="dxa"/>
          <w:right w:w="70" w:type="dxa"/>
        </w:tblCellMar>
        <w:tblLook w:val="0000" w:firstRow="0" w:lastRow="0" w:firstColumn="0" w:lastColumn="0" w:noHBand="0" w:noVBand="0"/>
      </w:tblPr>
      <w:tblGrid>
        <w:gridCol w:w="2981"/>
        <w:gridCol w:w="1480"/>
        <w:gridCol w:w="1792"/>
        <w:gridCol w:w="1879"/>
      </w:tblGrid>
      <w:tr w:rsidR="00E67545" w:rsidRPr="00AA2AEA" w14:paraId="2F161E49" w14:textId="77777777" w:rsidTr="00FD5916">
        <w:trPr>
          <w:trHeight w:val="605"/>
          <w:jc w:val="center"/>
        </w:trPr>
        <w:tc>
          <w:tcPr>
            <w:tcW w:w="2981" w:type="dxa"/>
            <w:tcBorders>
              <w:top w:val="single" w:sz="8" w:space="0" w:color="auto"/>
              <w:left w:val="single" w:sz="8" w:space="0" w:color="auto"/>
              <w:bottom w:val="single" w:sz="8" w:space="0" w:color="auto"/>
              <w:right w:val="single" w:sz="8" w:space="0" w:color="auto"/>
            </w:tcBorders>
            <w:shd w:val="clear" w:color="auto" w:fill="DDD9C3"/>
            <w:noWrap/>
            <w:vAlign w:val="center"/>
          </w:tcPr>
          <w:p w14:paraId="1113D48B" w14:textId="77777777" w:rsidR="00E67545" w:rsidRPr="00AA2AEA" w:rsidRDefault="00E67545" w:rsidP="00E540DF">
            <w:pPr>
              <w:spacing w:line="276" w:lineRule="auto"/>
              <w:jc w:val="center"/>
              <w:rPr>
                <w:b/>
                <w:bCs/>
              </w:rPr>
            </w:pPr>
            <w:r w:rsidRPr="00AA2AEA">
              <w:rPr>
                <w:b/>
                <w:bCs/>
              </w:rPr>
              <w:t>Harcama Birimleri</w:t>
            </w:r>
          </w:p>
        </w:tc>
        <w:tc>
          <w:tcPr>
            <w:tcW w:w="1480" w:type="dxa"/>
            <w:tcBorders>
              <w:top w:val="single" w:sz="8" w:space="0" w:color="auto"/>
              <w:left w:val="nil"/>
              <w:bottom w:val="single" w:sz="8" w:space="0" w:color="auto"/>
              <w:right w:val="single" w:sz="8" w:space="0" w:color="auto"/>
            </w:tcBorders>
            <w:shd w:val="clear" w:color="auto" w:fill="DDD9C3"/>
            <w:vAlign w:val="center"/>
          </w:tcPr>
          <w:p w14:paraId="40CD975C" w14:textId="77777777" w:rsidR="00E67545" w:rsidRPr="00AA2AEA" w:rsidRDefault="00A24E89" w:rsidP="00E540DF">
            <w:pPr>
              <w:spacing w:line="276" w:lineRule="auto"/>
              <w:jc w:val="center"/>
              <w:rPr>
                <w:b/>
                <w:bCs/>
              </w:rPr>
            </w:pPr>
            <w:r w:rsidRPr="00AA2AEA">
              <w:rPr>
                <w:b/>
                <w:bCs/>
              </w:rPr>
              <w:t>Başlangıç Ödeneği (</w:t>
            </w:r>
            <w:r w:rsidR="00E67545" w:rsidRPr="00AA2AEA">
              <w:rPr>
                <w:b/>
                <w:bCs/>
              </w:rPr>
              <w:t>TL)</w:t>
            </w:r>
          </w:p>
        </w:tc>
        <w:tc>
          <w:tcPr>
            <w:tcW w:w="1792" w:type="dxa"/>
            <w:tcBorders>
              <w:top w:val="single" w:sz="8" w:space="0" w:color="auto"/>
              <w:left w:val="nil"/>
              <w:bottom w:val="single" w:sz="8" w:space="0" w:color="auto"/>
              <w:right w:val="single" w:sz="8" w:space="0" w:color="auto"/>
            </w:tcBorders>
            <w:shd w:val="clear" w:color="auto" w:fill="DDD9C3"/>
            <w:vAlign w:val="center"/>
          </w:tcPr>
          <w:p w14:paraId="2A348D79" w14:textId="77777777" w:rsidR="00E67545" w:rsidRPr="00AA2AEA" w:rsidRDefault="00E67545" w:rsidP="00E540DF">
            <w:pPr>
              <w:spacing w:line="276" w:lineRule="auto"/>
              <w:jc w:val="center"/>
              <w:rPr>
                <w:b/>
                <w:bCs/>
              </w:rPr>
            </w:pPr>
            <w:r w:rsidRPr="00AA2AEA">
              <w:rPr>
                <w:b/>
                <w:bCs/>
              </w:rPr>
              <w:t>Oc</w:t>
            </w:r>
            <w:r w:rsidR="00A24E89" w:rsidRPr="00AA2AEA">
              <w:rPr>
                <w:b/>
                <w:bCs/>
              </w:rPr>
              <w:t>ak-Haziran Gerçekleşme Tutarı (</w:t>
            </w:r>
            <w:r w:rsidRPr="00AA2AEA">
              <w:rPr>
                <w:b/>
                <w:bCs/>
              </w:rPr>
              <w:t>TL)</w:t>
            </w:r>
          </w:p>
        </w:tc>
        <w:tc>
          <w:tcPr>
            <w:tcW w:w="1879" w:type="dxa"/>
            <w:tcBorders>
              <w:top w:val="single" w:sz="8" w:space="0" w:color="auto"/>
              <w:left w:val="nil"/>
              <w:bottom w:val="single" w:sz="8" w:space="0" w:color="auto"/>
              <w:right w:val="single" w:sz="8" w:space="0" w:color="auto"/>
            </w:tcBorders>
            <w:shd w:val="clear" w:color="auto" w:fill="DDD9C3"/>
            <w:vAlign w:val="center"/>
          </w:tcPr>
          <w:p w14:paraId="3D2427C2" w14:textId="77777777" w:rsidR="00E67545" w:rsidRPr="00AA2AEA" w:rsidRDefault="00E67545" w:rsidP="00E540DF">
            <w:pPr>
              <w:spacing w:line="276" w:lineRule="auto"/>
              <w:jc w:val="center"/>
              <w:rPr>
                <w:b/>
                <w:bCs/>
              </w:rPr>
            </w:pPr>
            <w:r w:rsidRPr="00AA2AEA">
              <w:rPr>
                <w:b/>
                <w:bCs/>
              </w:rPr>
              <w:t>Gerçekleşme Oranı(</w:t>
            </w:r>
            <w:r w:rsidRPr="00AA2AEA">
              <w:t>%</w:t>
            </w:r>
            <w:r w:rsidRPr="00AA2AEA">
              <w:rPr>
                <w:b/>
                <w:bCs/>
              </w:rPr>
              <w:t>)</w:t>
            </w:r>
          </w:p>
        </w:tc>
      </w:tr>
      <w:tr w:rsidR="00E67545" w:rsidRPr="00AA2AEA" w14:paraId="41B02913" w14:textId="77777777" w:rsidTr="00FD5916">
        <w:trPr>
          <w:trHeight w:val="298"/>
          <w:jc w:val="center"/>
        </w:trPr>
        <w:tc>
          <w:tcPr>
            <w:tcW w:w="2981" w:type="dxa"/>
            <w:tcBorders>
              <w:top w:val="nil"/>
              <w:left w:val="single" w:sz="8" w:space="0" w:color="auto"/>
              <w:bottom w:val="single" w:sz="8" w:space="0" w:color="auto"/>
              <w:right w:val="single" w:sz="8" w:space="0" w:color="auto"/>
            </w:tcBorders>
            <w:shd w:val="clear" w:color="auto" w:fill="EEECE1"/>
            <w:noWrap/>
            <w:vAlign w:val="bottom"/>
          </w:tcPr>
          <w:p w14:paraId="7E94A411" w14:textId="77777777" w:rsidR="00E67545" w:rsidRPr="00AA2AEA" w:rsidRDefault="00E67545" w:rsidP="00E540DF">
            <w:pPr>
              <w:spacing w:line="276" w:lineRule="auto"/>
              <w:rPr>
                <w:b/>
              </w:rPr>
            </w:pPr>
            <w:r w:rsidRPr="00AA2AEA">
              <w:rPr>
                <w:b/>
              </w:rPr>
              <w:t>Özel Kalem Müdürlüğü</w:t>
            </w:r>
          </w:p>
        </w:tc>
        <w:tc>
          <w:tcPr>
            <w:tcW w:w="1480" w:type="dxa"/>
            <w:tcBorders>
              <w:top w:val="nil"/>
              <w:left w:val="nil"/>
              <w:bottom w:val="single" w:sz="8" w:space="0" w:color="auto"/>
              <w:right w:val="single" w:sz="8" w:space="0" w:color="auto"/>
            </w:tcBorders>
            <w:shd w:val="clear" w:color="auto" w:fill="EEECE1"/>
            <w:noWrap/>
            <w:vAlign w:val="bottom"/>
          </w:tcPr>
          <w:p w14:paraId="2767204E" w14:textId="77777777" w:rsidR="00E67545" w:rsidRPr="00AA2AEA" w:rsidRDefault="00FD5916" w:rsidP="00E540DF">
            <w:pPr>
              <w:spacing w:line="276" w:lineRule="auto"/>
              <w:jc w:val="right"/>
              <w:rPr>
                <w:b/>
              </w:rPr>
            </w:pPr>
            <w:r w:rsidRPr="00AA2AEA">
              <w:rPr>
                <w:b/>
              </w:rPr>
              <w:t>5.337.000</w:t>
            </w:r>
          </w:p>
        </w:tc>
        <w:tc>
          <w:tcPr>
            <w:tcW w:w="1792" w:type="dxa"/>
            <w:tcBorders>
              <w:top w:val="nil"/>
              <w:left w:val="nil"/>
              <w:bottom w:val="single" w:sz="8" w:space="0" w:color="auto"/>
              <w:right w:val="single" w:sz="8" w:space="0" w:color="auto"/>
            </w:tcBorders>
            <w:shd w:val="clear" w:color="auto" w:fill="EEECE1"/>
            <w:noWrap/>
            <w:vAlign w:val="bottom"/>
          </w:tcPr>
          <w:p w14:paraId="3A4F1B31" w14:textId="77777777" w:rsidR="00E67545" w:rsidRPr="00AA2AEA" w:rsidRDefault="00FD5916" w:rsidP="00E540DF">
            <w:pPr>
              <w:spacing w:line="276" w:lineRule="auto"/>
              <w:jc w:val="right"/>
              <w:rPr>
                <w:b/>
              </w:rPr>
            </w:pPr>
            <w:r w:rsidRPr="00AA2AEA">
              <w:rPr>
                <w:b/>
              </w:rPr>
              <w:t>2.362.926</w:t>
            </w:r>
          </w:p>
        </w:tc>
        <w:tc>
          <w:tcPr>
            <w:tcW w:w="1879" w:type="dxa"/>
            <w:tcBorders>
              <w:top w:val="nil"/>
              <w:left w:val="nil"/>
              <w:bottom w:val="single" w:sz="8" w:space="0" w:color="auto"/>
              <w:right w:val="single" w:sz="8" w:space="0" w:color="auto"/>
            </w:tcBorders>
            <w:shd w:val="clear" w:color="auto" w:fill="EEECE1"/>
            <w:noWrap/>
            <w:vAlign w:val="bottom"/>
          </w:tcPr>
          <w:p w14:paraId="07D2EBE3" w14:textId="77777777" w:rsidR="00E67545" w:rsidRPr="00AA2AEA" w:rsidRDefault="00F37814" w:rsidP="00E540DF">
            <w:pPr>
              <w:spacing w:line="276" w:lineRule="auto"/>
              <w:jc w:val="center"/>
              <w:rPr>
                <w:b/>
              </w:rPr>
            </w:pPr>
            <w:r w:rsidRPr="00AA2AEA">
              <w:rPr>
                <w:b/>
              </w:rPr>
              <w:t>44.27</w:t>
            </w:r>
          </w:p>
        </w:tc>
      </w:tr>
      <w:tr w:rsidR="00FD5916" w:rsidRPr="00AA2AEA" w14:paraId="37B92D39" w14:textId="77777777" w:rsidTr="00FD5916">
        <w:trPr>
          <w:trHeight w:val="298"/>
          <w:jc w:val="center"/>
        </w:trPr>
        <w:tc>
          <w:tcPr>
            <w:tcW w:w="2981" w:type="dxa"/>
            <w:tcBorders>
              <w:top w:val="nil"/>
              <w:left w:val="single" w:sz="8" w:space="0" w:color="auto"/>
              <w:bottom w:val="single" w:sz="8" w:space="0" w:color="auto"/>
              <w:right w:val="single" w:sz="8" w:space="0" w:color="auto"/>
            </w:tcBorders>
            <w:shd w:val="clear" w:color="auto" w:fill="EEECE1"/>
            <w:noWrap/>
            <w:vAlign w:val="bottom"/>
          </w:tcPr>
          <w:p w14:paraId="1E248DEE" w14:textId="77777777" w:rsidR="00FD5916" w:rsidRPr="00AA2AEA" w:rsidRDefault="00FD5916" w:rsidP="00E540DF">
            <w:pPr>
              <w:spacing w:line="276" w:lineRule="auto"/>
              <w:rPr>
                <w:b/>
              </w:rPr>
            </w:pPr>
            <w:r w:rsidRPr="00AA2AEA">
              <w:rPr>
                <w:b/>
              </w:rPr>
              <w:t>Yükseköğretim Denetleme Kurulu</w:t>
            </w:r>
          </w:p>
        </w:tc>
        <w:tc>
          <w:tcPr>
            <w:tcW w:w="1480" w:type="dxa"/>
            <w:tcBorders>
              <w:top w:val="nil"/>
              <w:left w:val="nil"/>
              <w:bottom w:val="single" w:sz="8" w:space="0" w:color="auto"/>
              <w:right w:val="single" w:sz="8" w:space="0" w:color="auto"/>
            </w:tcBorders>
            <w:shd w:val="clear" w:color="auto" w:fill="EEECE1"/>
            <w:noWrap/>
            <w:vAlign w:val="bottom"/>
          </w:tcPr>
          <w:p w14:paraId="7B6596A2" w14:textId="77777777" w:rsidR="00FD5916" w:rsidRPr="00AA2AEA" w:rsidRDefault="00FD5916" w:rsidP="00E540DF">
            <w:pPr>
              <w:spacing w:line="276" w:lineRule="auto"/>
              <w:jc w:val="right"/>
              <w:rPr>
                <w:b/>
              </w:rPr>
            </w:pPr>
            <w:r w:rsidRPr="00AA2AEA">
              <w:rPr>
                <w:b/>
              </w:rPr>
              <w:t>16.000</w:t>
            </w:r>
          </w:p>
        </w:tc>
        <w:tc>
          <w:tcPr>
            <w:tcW w:w="1792" w:type="dxa"/>
            <w:tcBorders>
              <w:top w:val="nil"/>
              <w:left w:val="nil"/>
              <w:bottom w:val="single" w:sz="8" w:space="0" w:color="auto"/>
              <w:right w:val="single" w:sz="8" w:space="0" w:color="auto"/>
            </w:tcBorders>
            <w:shd w:val="clear" w:color="auto" w:fill="EEECE1"/>
            <w:noWrap/>
            <w:vAlign w:val="bottom"/>
          </w:tcPr>
          <w:p w14:paraId="0350C761" w14:textId="77777777" w:rsidR="00FD5916" w:rsidRPr="00AA2AEA" w:rsidRDefault="00FD5916" w:rsidP="00E540DF">
            <w:pPr>
              <w:spacing w:line="276" w:lineRule="auto"/>
              <w:jc w:val="right"/>
              <w:rPr>
                <w:b/>
              </w:rPr>
            </w:pPr>
            <w:r w:rsidRPr="00AA2AEA">
              <w:rPr>
                <w:b/>
              </w:rPr>
              <w:t>50.870</w:t>
            </w:r>
          </w:p>
        </w:tc>
        <w:tc>
          <w:tcPr>
            <w:tcW w:w="1879" w:type="dxa"/>
            <w:tcBorders>
              <w:top w:val="nil"/>
              <w:left w:val="nil"/>
              <w:bottom w:val="single" w:sz="8" w:space="0" w:color="auto"/>
              <w:right w:val="single" w:sz="8" w:space="0" w:color="auto"/>
            </w:tcBorders>
            <w:shd w:val="clear" w:color="auto" w:fill="EEECE1"/>
            <w:noWrap/>
            <w:vAlign w:val="bottom"/>
          </w:tcPr>
          <w:p w14:paraId="4CFD97E6" w14:textId="77777777" w:rsidR="00FD5916" w:rsidRPr="00AA2AEA" w:rsidRDefault="00F37814" w:rsidP="00E540DF">
            <w:pPr>
              <w:spacing w:line="276" w:lineRule="auto"/>
              <w:jc w:val="center"/>
              <w:rPr>
                <w:b/>
              </w:rPr>
            </w:pPr>
            <w:r w:rsidRPr="00AA2AEA">
              <w:rPr>
                <w:b/>
              </w:rPr>
              <w:t>317,94</w:t>
            </w:r>
          </w:p>
        </w:tc>
      </w:tr>
      <w:tr w:rsidR="00E67545" w:rsidRPr="00AA2AEA" w14:paraId="515160C3" w14:textId="77777777" w:rsidTr="00FD5916">
        <w:trPr>
          <w:trHeight w:val="335"/>
          <w:jc w:val="center"/>
        </w:trPr>
        <w:tc>
          <w:tcPr>
            <w:tcW w:w="2981" w:type="dxa"/>
            <w:tcBorders>
              <w:top w:val="nil"/>
              <w:left w:val="single" w:sz="8" w:space="0" w:color="auto"/>
              <w:bottom w:val="single" w:sz="8" w:space="0" w:color="auto"/>
              <w:right w:val="single" w:sz="8" w:space="0" w:color="auto"/>
            </w:tcBorders>
            <w:shd w:val="clear" w:color="auto" w:fill="EEECE1"/>
            <w:noWrap/>
            <w:vAlign w:val="bottom"/>
          </w:tcPr>
          <w:p w14:paraId="5608A5F1" w14:textId="77777777" w:rsidR="00E67545" w:rsidRPr="00AA2AEA" w:rsidRDefault="00E67545" w:rsidP="00E540DF">
            <w:pPr>
              <w:spacing w:line="276" w:lineRule="auto"/>
              <w:rPr>
                <w:b/>
              </w:rPr>
            </w:pPr>
            <w:r w:rsidRPr="00AA2AEA">
              <w:rPr>
                <w:b/>
              </w:rPr>
              <w:t>Genel Sekreterlik</w:t>
            </w:r>
          </w:p>
        </w:tc>
        <w:tc>
          <w:tcPr>
            <w:tcW w:w="1480" w:type="dxa"/>
            <w:tcBorders>
              <w:top w:val="nil"/>
              <w:left w:val="nil"/>
              <w:bottom w:val="single" w:sz="8" w:space="0" w:color="auto"/>
              <w:right w:val="single" w:sz="8" w:space="0" w:color="auto"/>
            </w:tcBorders>
            <w:shd w:val="clear" w:color="auto" w:fill="EEECE1"/>
            <w:noWrap/>
            <w:vAlign w:val="bottom"/>
          </w:tcPr>
          <w:p w14:paraId="24D2FE45" w14:textId="77777777" w:rsidR="00E67545" w:rsidRPr="00AA2AEA" w:rsidRDefault="00FD5916" w:rsidP="00E540DF">
            <w:pPr>
              <w:spacing w:line="276" w:lineRule="auto"/>
              <w:jc w:val="right"/>
              <w:rPr>
                <w:b/>
              </w:rPr>
            </w:pPr>
            <w:r w:rsidRPr="00AA2AEA">
              <w:rPr>
                <w:b/>
              </w:rPr>
              <w:t>32.541.000</w:t>
            </w:r>
          </w:p>
        </w:tc>
        <w:tc>
          <w:tcPr>
            <w:tcW w:w="1792" w:type="dxa"/>
            <w:tcBorders>
              <w:top w:val="nil"/>
              <w:left w:val="nil"/>
              <w:bottom w:val="single" w:sz="8" w:space="0" w:color="auto"/>
              <w:right w:val="single" w:sz="8" w:space="0" w:color="auto"/>
            </w:tcBorders>
            <w:shd w:val="clear" w:color="auto" w:fill="EEECE1"/>
            <w:noWrap/>
            <w:vAlign w:val="bottom"/>
          </w:tcPr>
          <w:p w14:paraId="4D71703C" w14:textId="77777777" w:rsidR="00E67545" w:rsidRPr="00AA2AEA" w:rsidRDefault="00E22330" w:rsidP="00E540DF">
            <w:pPr>
              <w:spacing w:line="276" w:lineRule="auto"/>
              <w:jc w:val="right"/>
              <w:rPr>
                <w:b/>
              </w:rPr>
            </w:pPr>
            <w:r w:rsidRPr="00AA2AEA">
              <w:rPr>
                <w:b/>
              </w:rPr>
              <w:t>34.564.052</w:t>
            </w:r>
          </w:p>
        </w:tc>
        <w:tc>
          <w:tcPr>
            <w:tcW w:w="1879" w:type="dxa"/>
            <w:tcBorders>
              <w:top w:val="nil"/>
              <w:left w:val="nil"/>
              <w:bottom w:val="single" w:sz="8" w:space="0" w:color="auto"/>
              <w:right w:val="single" w:sz="8" w:space="0" w:color="auto"/>
            </w:tcBorders>
            <w:shd w:val="clear" w:color="auto" w:fill="EEECE1"/>
            <w:noWrap/>
            <w:vAlign w:val="bottom"/>
          </w:tcPr>
          <w:p w14:paraId="13EB9F77" w14:textId="77777777" w:rsidR="00E67545" w:rsidRPr="00AA2AEA" w:rsidRDefault="00F37814" w:rsidP="00E540DF">
            <w:pPr>
              <w:spacing w:line="276" w:lineRule="auto"/>
              <w:jc w:val="center"/>
              <w:rPr>
                <w:b/>
              </w:rPr>
            </w:pPr>
            <w:r w:rsidRPr="00AA2AEA">
              <w:rPr>
                <w:b/>
              </w:rPr>
              <w:t>106,22</w:t>
            </w:r>
          </w:p>
        </w:tc>
      </w:tr>
      <w:tr w:rsidR="00FD5916" w:rsidRPr="00AA2AEA" w14:paraId="3B7D6848" w14:textId="77777777" w:rsidTr="00FD5916">
        <w:trPr>
          <w:trHeight w:val="335"/>
          <w:jc w:val="center"/>
        </w:trPr>
        <w:tc>
          <w:tcPr>
            <w:tcW w:w="2981" w:type="dxa"/>
            <w:tcBorders>
              <w:top w:val="nil"/>
              <w:left w:val="single" w:sz="8" w:space="0" w:color="auto"/>
              <w:bottom w:val="single" w:sz="8" w:space="0" w:color="auto"/>
              <w:right w:val="single" w:sz="8" w:space="0" w:color="auto"/>
            </w:tcBorders>
            <w:shd w:val="clear" w:color="auto" w:fill="EEECE1"/>
            <w:noWrap/>
            <w:vAlign w:val="bottom"/>
          </w:tcPr>
          <w:p w14:paraId="39F9EC16" w14:textId="77777777" w:rsidR="00FD5916" w:rsidRPr="00AA2AEA" w:rsidRDefault="00FD5916" w:rsidP="00E540DF">
            <w:pPr>
              <w:spacing w:line="276" w:lineRule="auto"/>
            </w:pPr>
            <w:r w:rsidRPr="00AA2AEA">
              <w:t>Genel</w:t>
            </w:r>
          </w:p>
        </w:tc>
        <w:tc>
          <w:tcPr>
            <w:tcW w:w="1480" w:type="dxa"/>
            <w:tcBorders>
              <w:top w:val="nil"/>
              <w:left w:val="nil"/>
              <w:bottom w:val="single" w:sz="8" w:space="0" w:color="auto"/>
              <w:right w:val="single" w:sz="8" w:space="0" w:color="auto"/>
            </w:tcBorders>
            <w:shd w:val="clear" w:color="auto" w:fill="EEECE1"/>
            <w:noWrap/>
            <w:vAlign w:val="bottom"/>
          </w:tcPr>
          <w:p w14:paraId="43E2DA43" w14:textId="77777777" w:rsidR="00FD5916" w:rsidRPr="00AA2AEA" w:rsidRDefault="00FC117B" w:rsidP="00E540DF">
            <w:pPr>
              <w:spacing w:line="276" w:lineRule="auto"/>
              <w:jc w:val="right"/>
              <w:rPr>
                <w:b/>
              </w:rPr>
            </w:pPr>
            <w:r w:rsidRPr="00AA2AEA">
              <w:rPr>
                <w:b/>
              </w:rPr>
              <w:t>-----</w:t>
            </w:r>
          </w:p>
        </w:tc>
        <w:tc>
          <w:tcPr>
            <w:tcW w:w="1792" w:type="dxa"/>
            <w:tcBorders>
              <w:top w:val="nil"/>
              <w:left w:val="nil"/>
              <w:bottom w:val="single" w:sz="8" w:space="0" w:color="auto"/>
              <w:right w:val="single" w:sz="8" w:space="0" w:color="auto"/>
            </w:tcBorders>
            <w:shd w:val="clear" w:color="auto" w:fill="EEECE1"/>
            <w:noWrap/>
            <w:vAlign w:val="bottom"/>
          </w:tcPr>
          <w:p w14:paraId="70DC271C" w14:textId="77777777" w:rsidR="00FD5916" w:rsidRPr="00AA2AEA" w:rsidRDefault="00E22330" w:rsidP="00E540DF">
            <w:pPr>
              <w:spacing w:line="276" w:lineRule="auto"/>
              <w:jc w:val="right"/>
              <w:rPr>
                <w:b/>
              </w:rPr>
            </w:pPr>
            <w:r w:rsidRPr="00AA2AEA">
              <w:rPr>
                <w:b/>
              </w:rPr>
              <w:t>15.611.346</w:t>
            </w:r>
          </w:p>
        </w:tc>
        <w:tc>
          <w:tcPr>
            <w:tcW w:w="1879" w:type="dxa"/>
            <w:tcBorders>
              <w:top w:val="nil"/>
              <w:left w:val="nil"/>
              <w:bottom w:val="single" w:sz="8" w:space="0" w:color="auto"/>
              <w:right w:val="single" w:sz="8" w:space="0" w:color="auto"/>
            </w:tcBorders>
            <w:shd w:val="clear" w:color="auto" w:fill="EEECE1"/>
            <w:noWrap/>
            <w:vAlign w:val="bottom"/>
          </w:tcPr>
          <w:p w14:paraId="48D55728" w14:textId="77777777" w:rsidR="00FD5916" w:rsidRPr="00AA2AEA" w:rsidRDefault="00FC117B" w:rsidP="00E540DF">
            <w:pPr>
              <w:spacing w:line="276" w:lineRule="auto"/>
              <w:jc w:val="center"/>
              <w:rPr>
                <w:b/>
              </w:rPr>
            </w:pPr>
            <w:r w:rsidRPr="00AA2AEA">
              <w:rPr>
                <w:b/>
              </w:rPr>
              <w:t>-----</w:t>
            </w:r>
          </w:p>
        </w:tc>
      </w:tr>
      <w:tr w:rsidR="00FD5916" w:rsidRPr="00AA2AEA" w14:paraId="3FACD9CD" w14:textId="77777777" w:rsidTr="00FD5916">
        <w:trPr>
          <w:trHeight w:val="335"/>
          <w:jc w:val="center"/>
        </w:trPr>
        <w:tc>
          <w:tcPr>
            <w:tcW w:w="2981" w:type="dxa"/>
            <w:tcBorders>
              <w:top w:val="nil"/>
              <w:left w:val="single" w:sz="8" w:space="0" w:color="auto"/>
              <w:bottom w:val="single" w:sz="8" w:space="0" w:color="auto"/>
              <w:right w:val="single" w:sz="8" w:space="0" w:color="auto"/>
            </w:tcBorders>
            <w:shd w:val="clear" w:color="auto" w:fill="EEECE1"/>
            <w:noWrap/>
            <w:vAlign w:val="bottom"/>
          </w:tcPr>
          <w:p w14:paraId="55166853" w14:textId="77777777" w:rsidR="00FD5916" w:rsidRPr="00AA2AEA" w:rsidRDefault="00FD5916" w:rsidP="00E540DF">
            <w:pPr>
              <w:spacing w:line="276" w:lineRule="auto"/>
            </w:pPr>
            <w:r w:rsidRPr="00AA2AEA">
              <w:t>İdari ve Mali İşler Daire Başkanlığı</w:t>
            </w:r>
          </w:p>
        </w:tc>
        <w:tc>
          <w:tcPr>
            <w:tcW w:w="1480" w:type="dxa"/>
            <w:tcBorders>
              <w:top w:val="nil"/>
              <w:left w:val="nil"/>
              <w:bottom w:val="single" w:sz="8" w:space="0" w:color="auto"/>
              <w:right w:val="single" w:sz="8" w:space="0" w:color="auto"/>
            </w:tcBorders>
            <w:shd w:val="clear" w:color="auto" w:fill="EEECE1"/>
            <w:noWrap/>
            <w:vAlign w:val="bottom"/>
          </w:tcPr>
          <w:p w14:paraId="57AD0DA5" w14:textId="77777777" w:rsidR="00FD5916" w:rsidRPr="00AA2AEA" w:rsidRDefault="00FC117B" w:rsidP="00E540DF">
            <w:pPr>
              <w:spacing w:line="276" w:lineRule="auto"/>
              <w:jc w:val="right"/>
              <w:rPr>
                <w:b/>
              </w:rPr>
            </w:pPr>
            <w:r w:rsidRPr="00AA2AEA">
              <w:rPr>
                <w:b/>
              </w:rPr>
              <w:t>-----</w:t>
            </w:r>
          </w:p>
        </w:tc>
        <w:tc>
          <w:tcPr>
            <w:tcW w:w="1792" w:type="dxa"/>
            <w:tcBorders>
              <w:top w:val="nil"/>
              <w:left w:val="nil"/>
              <w:bottom w:val="single" w:sz="8" w:space="0" w:color="auto"/>
              <w:right w:val="single" w:sz="8" w:space="0" w:color="auto"/>
            </w:tcBorders>
            <w:shd w:val="clear" w:color="auto" w:fill="EEECE1"/>
            <w:noWrap/>
            <w:vAlign w:val="bottom"/>
          </w:tcPr>
          <w:p w14:paraId="24F15673" w14:textId="77777777" w:rsidR="00FD5916" w:rsidRPr="00AA2AEA" w:rsidRDefault="00FD5916" w:rsidP="00E540DF">
            <w:pPr>
              <w:spacing w:line="276" w:lineRule="auto"/>
              <w:jc w:val="right"/>
              <w:rPr>
                <w:b/>
              </w:rPr>
            </w:pPr>
            <w:r w:rsidRPr="00AA2AEA">
              <w:rPr>
                <w:b/>
              </w:rPr>
              <w:t>4.603.354</w:t>
            </w:r>
          </w:p>
        </w:tc>
        <w:tc>
          <w:tcPr>
            <w:tcW w:w="1879" w:type="dxa"/>
            <w:tcBorders>
              <w:top w:val="nil"/>
              <w:left w:val="nil"/>
              <w:bottom w:val="single" w:sz="8" w:space="0" w:color="auto"/>
              <w:right w:val="single" w:sz="8" w:space="0" w:color="auto"/>
            </w:tcBorders>
            <w:shd w:val="clear" w:color="auto" w:fill="EEECE1"/>
            <w:noWrap/>
            <w:vAlign w:val="bottom"/>
          </w:tcPr>
          <w:p w14:paraId="598E35A5" w14:textId="77777777" w:rsidR="00FD5916" w:rsidRPr="00AA2AEA" w:rsidRDefault="00FC117B" w:rsidP="00E540DF">
            <w:pPr>
              <w:spacing w:line="276" w:lineRule="auto"/>
              <w:jc w:val="center"/>
              <w:rPr>
                <w:b/>
              </w:rPr>
            </w:pPr>
            <w:r w:rsidRPr="00AA2AEA">
              <w:rPr>
                <w:b/>
              </w:rPr>
              <w:t>-----</w:t>
            </w:r>
          </w:p>
        </w:tc>
      </w:tr>
      <w:tr w:rsidR="00FD5916" w:rsidRPr="00AA2AEA" w14:paraId="175634C4" w14:textId="77777777" w:rsidTr="00FD5916">
        <w:trPr>
          <w:trHeight w:val="335"/>
          <w:jc w:val="center"/>
        </w:trPr>
        <w:tc>
          <w:tcPr>
            <w:tcW w:w="2981" w:type="dxa"/>
            <w:tcBorders>
              <w:top w:val="nil"/>
              <w:left w:val="single" w:sz="8" w:space="0" w:color="auto"/>
              <w:bottom w:val="single" w:sz="8" w:space="0" w:color="auto"/>
              <w:right w:val="single" w:sz="8" w:space="0" w:color="auto"/>
            </w:tcBorders>
            <w:shd w:val="clear" w:color="auto" w:fill="EEECE1"/>
            <w:noWrap/>
            <w:vAlign w:val="bottom"/>
          </w:tcPr>
          <w:p w14:paraId="652C65A9" w14:textId="77777777" w:rsidR="00FD5916" w:rsidRPr="00AA2AEA" w:rsidRDefault="00FD5916" w:rsidP="00E540DF">
            <w:pPr>
              <w:spacing w:line="276" w:lineRule="auto"/>
            </w:pPr>
            <w:r w:rsidRPr="00AA2AEA">
              <w:t>İnşaat Bakım Onarım daire Başkanlığı</w:t>
            </w:r>
          </w:p>
        </w:tc>
        <w:tc>
          <w:tcPr>
            <w:tcW w:w="1480" w:type="dxa"/>
            <w:tcBorders>
              <w:top w:val="nil"/>
              <w:left w:val="nil"/>
              <w:bottom w:val="single" w:sz="8" w:space="0" w:color="auto"/>
              <w:right w:val="single" w:sz="8" w:space="0" w:color="auto"/>
            </w:tcBorders>
            <w:shd w:val="clear" w:color="auto" w:fill="EEECE1"/>
            <w:noWrap/>
            <w:vAlign w:val="bottom"/>
          </w:tcPr>
          <w:p w14:paraId="7344FC94" w14:textId="77777777" w:rsidR="00FD5916" w:rsidRPr="00AA2AEA" w:rsidRDefault="00FC117B" w:rsidP="00E540DF">
            <w:pPr>
              <w:spacing w:line="276" w:lineRule="auto"/>
              <w:jc w:val="right"/>
              <w:rPr>
                <w:b/>
              </w:rPr>
            </w:pPr>
            <w:r w:rsidRPr="00AA2AEA">
              <w:rPr>
                <w:b/>
              </w:rPr>
              <w:t>-----</w:t>
            </w:r>
          </w:p>
        </w:tc>
        <w:tc>
          <w:tcPr>
            <w:tcW w:w="1792" w:type="dxa"/>
            <w:tcBorders>
              <w:top w:val="nil"/>
              <w:left w:val="nil"/>
              <w:bottom w:val="single" w:sz="8" w:space="0" w:color="auto"/>
              <w:right w:val="single" w:sz="8" w:space="0" w:color="auto"/>
            </w:tcBorders>
            <w:shd w:val="clear" w:color="auto" w:fill="EEECE1"/>
            <w:noWrap/>
            <w:vAlign w:val="bottom"/>
          </w:tcPr>
          <w:p w14:paraId="389AA118" w14:textId="77777777" w:rsidR="00FD5916" w:rsidRPr="00AA2AEA" w:rsidRDefault="00FD5916" w:rsidP="00E540DF">
            <w:pPr>
              <w:spacing w:line="276" w:lineRule="auto"/>
              <w:jc w:val="right"/>
              <w:rPr>
                <w:b/>
              </w:rPr>
            </w:pPr>
            <w:r w:rsidRPr="00AA2AEA">
              <w:rPr>
                <w:b/>
              </w:rPr>
              <w:t>315.475</w:t>
            </w:r>
          </w:p>
        </w:tc>
        <w:tc>
          <w:tcPr>
            <w:tcW w:w="1879" w:type="dxa"/>
            <w:tcBorders>
              <w:top w:val="nil"/>
              <w:left w:val="nil"/>
              <w:bottom w:val="single" w:sz="8" w:space="0" w:color="auto"/>
              <w:right w:val="single" w:sz="8" w:space="0" w:color="auto"/>
            </w:tcBorders>
            <w:shd w:val="clear" w:color="auto" w:fill="EEECE1"/>
            <w:noWrap/>
            <w:vAlign w:val="bottom"/>
          </w:tcPr>
          <w:p w14:paraId="1F22DBC7" w14:textId="77777777" w:rsidR="00FD5916" w:rsidRPr="00AA2AEA" w:rsidRDefault="00FC117B" w:rsidP="00E540DF">
            <w:pPr>
              <w:spacing w:line="276" w:lineRule="auto"/>
              <w:jc w:val="center"/>
              <w:rPr>
                <w:b/>
              </w:rPr>
            </w:pPr>
            <w:r w:rsidRPr="00AA2AEA">
              <w:rPr>
                <w:b/>
              </w:rPr>
              <w:t>-----</w:t>
            </w:r>
          </w:p>
        </w:tc>
      </w:tr>
      <w:tr w:rsidR="00FD5916" w:rsidRPr="00AA2AEA" w14:paraId="14C8544F" w14:textId="77777777" w:rsidTr="00FD5916">
        <w:trPr>
          <w:trHeight w:val="335"/>
          <w:jc w:val="center"/>
        </w:trPr>
        <w:tc>
          <w:tcPr>
            <w:tcW w:w="2981" w:type="dxa"/>
            <w:tcBorders>
              <w:top w:val="nil"/>
              <w:left w:val="single" w:sz="8" w:space="0" w:color="auto"/>
              <w:bottom w:val="single" w:sz="8" w:space="0" w:color="auto"/>
              <w:right w:val="single" w:sz="8" w:space="0" w:color="auto"/>
            </w:tcBorders>
            <w:shd w:val="clear" w:color="auto" w:fill="EEECE1"/>
            <w:noWrap/>
            <w:vAlign w:val="bottom"/>
          </w:tcPr>
          <w:p w14:paraId="61330404" w14:textId="77777777" w:rsidR="00FD5916" w:rsidRPr="00AA2AEA" w:rsidRDefault="00FD5916" w:rsidP="00E540DF">
            <w:pPr>
              <w:spacing w:line="276" w:lineRule="auto"/>
            </w:pPr>
            <w:r w:rsidRPr="00AA2AEA">
              <w:t>Bilgi İşlem Dairesi Başkanlığı</w:t>
            </w:r>
          </w:p>
        </w:tc>
        <w:tc>
          <w:tcPr>
            <w:tcW w:w="1480" w:type="dxa"/>
            <w:tcBorders>
              <w:top w:val="nil"/>
              <w:left w:val="nil"/>
              <w:bottom w:val="single" w:sz="8" w:space="0" w:color="auto"/>
              <w:right w:val="single" w:sz="8" w:space="0" w:color="auto"/>
            </w:tcBorders>
            <w:shd w:val="clear" w:color="auto" w:fill="EEECE1"/>
            <w:noWrap/>
            <w:vAlign w:val="bottom"/>
          </w:tcPr>
          <w:p w14:paraId="7D2DEBDC" w14:textId="77777777" w:rsidR="00FD5916" w:rsidRPr="00AA2AEA" w:rsidRDefault="00FC117B" w:rsidP="00E540DF">
            <w:pPr>
              <w:spacing w:line="276" w:lineRule="auto"/>
              <w:jc w:val="right"/>
              <w:rPr>
                <w:b/>
              </w:rPr>
            </w:pPr>
            <w:r w:rsidRPr="00AA2AEA">
              <w:rPr>
                <w:b/>
              </w:rPr>
              <w:t>-----</w:t>
            </w:r>
          </w:p>
        </w:tc>
        <w:tc>
          <w:tcPr>
            <w:tcW w:w="1792" w:type="dxa"/>
            <w:tcBorders>
              <w:top w:val="nil"/>
              <w:left w:val="nil"/>
              <w:bottom w:val="single" w:sz="8" w:space="0" w:color="auto"/>
              <w:right w:val="single" w:sz="8" w:space="0" w:color="auto"/>
            </w:tcBorders>
            <w:shd w:val="clear" w:color="auto" w:fill="EEECE1"/>
            <w:noWrap/>
            <w:vAlign w:val="bottom"/>
          </w:tcPr>
          <w:p w14:paraId="65BE5207" w14:textId="77777777" w:rsidR="00FD5916" w:rsidRPr="00AA2AEA" w:rsidRDefault="00FD5916" w:rsidP="00E540DF">
            <w:pPr>
              <w:spacing w:line="276" w:lineRule="auto"/>
              <w:jc w:val="right"/>
              <w:rPr>
                <w:b/>
              </w:rPr>
            </w:pPr>
            <w:r w:rsidRPr="00AA2AEA">
              <w:rPr>
                <w:b/>
              </w:rPr>
              <w:t>743.496</w:t>
            </w:r>
          </w:p>
        </w:tc>
        <w:tc>
          <w:tcPr>
            <w:tcW w:w="1879" w:type="dxa"/>
            <w:tcBorders>
              <w:top w:val="nil"/>
              <w:left w:val="nil"/>
              <w:bottom w:val="single" w:sz="8" w:space="0" w:color="auto"/>
              <w:right w:val="single" w:sz="8" w:space="0" w:color="auto"/>
            </w:tcBorders>
            <w:shd w:val="clear" w:color="auto" w:fill="EEECE1"/>
            <w:noWrap/>
            <w:vAlign w:val="bottom"/>
          </w:tcPr>
          <w:p w14:paraId="515DC12A" w14:textId="77777777" w:rsidR="00FD5916" w:rsidRPr="00AA2AEA" w:rsidRDefault="00FC117B" w:rsidP="00E540DF">
            <w:pPr>
              <w:spacing w:line="276" w:lineRule="auto"/>
              <w:jc w:val="center"/>
              <w:rPr>
                <w:b/>
              </w:rPr>
            </w:pPr>
            <w:r w:rsidRPr="00AA2AEA">
              <w:rPr>
                <w:b/>
              </w:rPr>
              <w:t>-----</w:t>
            </w:r>
          </w:p>
        </w:tc>
      </w:tr>
      <w:tr w:rsidR="00FD5916" w:rsidRPr="00AA2AEA" w14:paraId="2A5DE45D" w14:textId="77777777" w:rsidTr="00FD5916">
        <w:trPr>
          <w:trHeight w:val="335"/>
          <w:jc w:val="center"/>
        </w:trPr>
        <w:tc>
          <w:tcPr>
            <w:tcW w:w="2981" w:type="dxa"/>
            <w:tcBorders>
              <w:top w:val="nil"/>
              <w:left w:val="single" w:sz="8" w:space="0" w:color="auto"/>
              <w:bottom w:val="single" w:sz="8" w:space="0" w:color="auto"/>
              <w:right w:val="single" w:sz="8" w:space="0" w:color="auto"/>
            </w:tcBorders>
            <w:shd w:val="clear" w:color="auto" w:fill="EEECE1"/>
            <w:noWrap/>
            <w:vAlign w:val="bottom"/>
          </w:tcPr>
          <w:p w14:paraId="64570B53" w14:textId="77777777" w:rsidR="00FD5916" w:rsidRPr="00AA2AEA" w:rsidRDefault="00FD5916" w:rsidP="00E540DF">
            <w:pPr>
              <w:spacing w:line="276" w:lineRule="auto"/>
            </w:pPr>
            <w:r w:rsidRPr="00AA2AEA">
              <w:t>Personel Dairesi Başkanlığı</w:t>
            </w:r>
          </w:p>
        </w:tc>
        <w:tc>
          <w:tcPr>
            <w:tcW w:w="1480" w:type="dxa"/>
            <w:tcBorders>
              <w:top w:val="nil"/>
              <w:left w:val="nil"/>
              <w:bottom w:val="single" w:sz="8" w:space="0" w:color="auto"/>
              <w:right w:val="single" w:sz="8" w:space="0" w:color="auto"/>
            </w:tcBorders>
            <w:shd w:val="clear" w:color="auto" w:fill="EEECE1"/>
            <w:noWrap/>
            <w:vAlign w:val="bottom"/>
          </w:tcPr>
          <w:p w14:paraId="7A5A6AEE" w14:textId="77777777" w:rsidR="00FD5916" w:rsidRPr="00AA2AEA" w:rsidRDefault="00FC117B" w:rsidP="00E540DF">
            <w:pPr>
              <w:spacing w:line="276" w:lineRule="auto"/>
              <w:jc w:val="right"/>
              <w:rPr>
                <w:b/>
              </w:rPr>
            </w:pPr>
            <w:r w:rsidRPr="00AA2AEA">
              <w:rPr>
                <w:b/>
              </w:rPr>
              <w:t>-----</w:t>
            </w:r>
          </w:p>
        </w:tc>
        <w:tc>
          <w:tcPr>
            <w:tcW w:w="1792" w:type="dxa"/>
            <w:tcBorders>
              <w:top w:val="nil"/>
              <w:left w:val="nil"/>
              <w:bottom w:val="single" w:sz="8" w:space="0" w:color="auto"/>
              <w:right w:val="single" w:sz="8" w:space="0" w:color="auto"/>
            </w:tcBorders>
            <w:shd w:val="clear" w:color="auto" w:fill="EEECE1"/>
            <w:noWrap/>
            <w:vAlign w:val="bottom"/>
          </w:tcPr>
          <w:p w14:paraId="79C52F5C" w14:textId="77777777" w:rsidR="00FD5916" w:rsidRPr="00AA2AEA" w:rsidRDefault="00FD5916" w:rsidP="00E540DF">
            <w:pPr>
              <w:spacing w:line="276" w:lineRule="auto"/>
              <w:jc w:val="right"/>
              <w:rPr>
                <w:b/>
              </w:rPr>
            </w:pPr>
            <w:r w:rsidRPr="00AA2AEA">
              <w:rPr>
                <w:b/>
              </w:rPr>
              <w:t>12.584.000</w:t>
            </w:r>
          </w:p>
        </w:tc>
        <w:tc>
          <w:tcPr>
            <w:tcW w:w="1879" w:type="dxa"/>
            <w:tcBorders>
              <w:top w:val="nil"/>
              <w:left w:val="nil"/>
              <w:bottom w:val="single" w:sz="8" w:space="0" w:color="auto"/>
              <w:right w:val="single" w:sz="8" w:space="0" w:color="auto"/>
            </w:tcBorders>
            <w:shd w:val="clear" w:color="auto" w:fill="EEECE1"/>
            <w:noWrap/>
            <w:vAlign w:val="bottom"/>
          </w:tcPr>
          <w:p w14:paraId="1CB6C2DA" w14:textId="77777777" w:rsidR="00FD5916" w:rsidRPr="00AA2AEA" w:rsidRDefault="00FC117B" w:rsidP="00E540DF">
            <w:pPr>
              <w:spacing w:line="276" w:lineRule="auto"/>
              <w:jc w:val="center"/>
              <w:rPr>
                <w:b/>
              </w:rPr>
            </w:pPr>
            <w:r w:rsidRPr="00AA2AEA">
              <w:rPr>
                <w:b/>
              </w:rPr>
              <w:t>-----</w:t>
            </w:r>
          </w:p>
        </w:tc>
      </w:tr>
      <w:tr w:rsidR="00FD5916" w:rsidRPr="00AA2AEA" w14:paraId="7EDB0B88" w14:textId="77777777" w:rsidTr="00FD5916">
        <w:trPr>
          <w:trHeight w:val="335"/>
          <w:jc w:val="center"/>
        </w:trPr>
        <w:tc>
          <w:tcPr>
            <w:tcW w:w="2981" w:type="dxa"/>
            <w:tcBorders>
              <w:top w:val="nil"/>
              <w:left w:val="single" w:sz="8" w:space="0" w:color="auto"/>
              <w:bottom w:val="single" w:sz="8" w:space="0" w:color="auto"/>
              <w:right w:val="single" w:sz="8" w:space="0" w:color="auto"/>
            </w:tcBorders>
            <w:shd w:val="clear" w:color="auto" w:fill="EEECE1"/>
            <w:noWrap/>
            <w:vAlign w:val="bottom"/>
          </w:tcPr>
          <w:p w14:paraId="6F0E7BFB" w14:textId="77777777" w:rsidR="00FD5916" w:rsidRPr="00AA2AEA" w:rsidRDefault="00FD5916" w:rsidP="00E540DF">
            <w:pPr>
              <w:spacing w:line="276" w:lineRule="auto"/>
            </w:pPr>
            <w:r w:rsidRPr="00AA2AEA">
              <w:t>Hukuk Müşavirliği</w:t>
            </w:r>
          </w:p>
        </w:tc>
        <w:tc>
          <w:tcPr>
            <w:tcW w:w="1480" w:type="dxa"/>
            <w:tcBorders>
              <w:top w:val="nil"/>
              <w:left w:val="nil"/>
              <w:bottom w:val="single" w:sz="8" w:space="0" w:color="auto"/>
              <w:right w:val="single" w:sz="8" w:space="0" w:color="auto"/>
            </w:tcBorders>
            <w:shd w:val="clear" w:color="auto" w:fill="EEECE1"/>
            <w:noWrap/>
            <w:vAlign w:val="bottom"/>
          </w:tcPr>
          <w:p w14:paraId="19B72EDE" w14:textId="77777777" w:rsidR="00FD5916" w:rsidRPr="00AA2AEA" w:rsidRDefault="00FC117B" w:rsidP="00E540DF">
            <w:pPr>
              <w:spacing w:line="276" w:lineRule="auto"/>
              <w:jc w:val="right"/>
              <w:rPr>
                <w:b/>
              </w:rPr>
            </w:pPr>
            <w:r w:rsidRPr="00AA2AEA">
              <w:rPr>
                <w:b/>
              </w:rPr>
              <w:t>-----</w:t>
            </w:r>
          </w:p>
        </w:tc>
        <w:tc>
          <w:tcPr>
            <w:tcW w:w="1792" w:type="dxa"/>
            <w:tcBorders>
              <w:top w:val="nil"/>
              <w:left w:val="nil"/>
              <w:bottom w:val="single" w:sz="8" w:space="0" w:color="auto"/>
              <w:right w:val="single" w:sz="8" w:space="0" w:color="auto"/>
            </w:tcBorders>
            <w:shd w:val="clear" w:color="auto" w:fill="EEECE1"/>
            <w:noWrap/>
            <w:vAlign w:val="bottom"/>
          </w:tcPr>
          <w:p w14:paraId="238DB6AB" w14:textId="77777777" w:rsidR="00FD5916" w:rsidRPr="00AA2AEA" w:rsidRDefault="00FD5916" w:rsidP="00E540DF">
            <w:pPr>
              <w:spacing w:line="276" w:lineRule="auto"/>
              <w:jc w:val="right"/>
              <w:rPr>
                <w:b/>
              </w:rPr>
            </w:pPr>
            <w:r w:rsidRPr="00AA2AEA">
              <w:rPr>
                <w:b/>
              </w:rPr>
              <w:t>706.381</w:t>
            </w:r>
          </w:p>
        </w:tc>
        <w:tc>
          <w:tcPr>
            <w:tcW w:w="1879" w:type="dxa"/>
            <w:tcBorders>
              <w:top w:val="nil"/>
              <w:left w:val="nil"/>
              <w:bottom w:val="single" w:sz="8" w:space="0" w:color="auto"/>
              <w:right w:val="single" w:sz="8" w:space="0" w:color="auto"/>
            </w:tcBorders>
            <w:shd w:val="clear" w:color="auto" w:fill="EEECE1"/>
            <w:noWrap/>
            <w:vAlign w:val="bottom"/>
          </w:tcPr>
          <w:p w14:paraId="0EA5848F" w14:textId="77777777" w:rsidR="00FD5916" w:rsidRPr="00AA2AEA" w:rsidRDefault="00FC117B" w:rsidP="00E540DF">
            <w:pPr>
              <w:spacing w:line="276" w:lineRule="auto"/>
              <w:jc w:val="center"/>
              <w:rPr>
                <w:b/>
              </w:rPr>
            </w:pPr>
            <w:r w:rsidRPr="00AA2AEA">
              <w:rPr>
                <w:b/>
              </w:rPr>
              <w:t>-----</w:t>
            </w:r>
          </w:p>
        </w:tc>
      </w:tr>
      <w:tr w:rsidR="00E67545" w:rsidRPr="00AA2AEA" w14:paraId="20E4B76A" w14:textId="77777777" w:rsidTr="00FD5916">
        <w:trPr>
          <w:trHeight w:val="323"/>
          <w:jc w:val="center"/>
        </w:trPr>
        <w:tc>
          <w:tcPr>
            <w:tcW w:w="2981" w:type="dxa"/>
            <w:tcBorders>
              <w:top w:val="nil"/>
              <w:left w:val="single" w:sz="8" w:space="0" w:color="auto"/>
              <w:bottom w:val="single" w:sz="8" w:space="0" w:color="auto"/>
              <w:right w:val="single" w:sz="8" w:space="0" w:color="auto"/>
            </w:tcBorders>
            <w:shd w:val="clear" w:color="auto" w:fill="EEECE1"/>
            <w:noWrap/>
            <w:vAlign w:val="bottom"/>
          </w:tcPr>
          <w:p w14:paraId="34565957" w14:textId="77777777" w:rsidR="00E67545" w:rsidRPr="00AA2AEA" w:rsidRDefault="004D3BCF" w:rsidP="00E540DF">
            <w:pPr>
              <w:spacing w:line="276" w:lineRule="auto"/>
              <w:rPr>
                <w:b/>
              </w:rPr>
            </w:pPr>
            <w:r w:rsidRPr="00AA2AEA">
              <w:rPr>
                <w:b/>
              </w:rPr>
              <w:t>Üniversitelerarası Kurul Başkanlığı</w:t>
            </w:r>
          </w:p>
        </w:tc>
        <w:tc>
          <w:tcPr>
            <w:tcW w:w="1480" w:type="dxa"/>
            <w:tcBorders>
              <w:top w:val="nil"/>
              <w:left w:val="nil"/>
              <w:bottom w:val="single" w:sz="8" w:space="0" w:color="auto"/>
              <w:right w:val="single" w:sz="8" w:space="0" w:color="auto"/>
            </w:tcBorders>
            <w:shd w:val="clear" w:color="auto" w:fill="EEECE1"/>
            <w:noWrap/>
            <w:vAlign w:val="bottom"/>
          </w:tcPr>
          <w:p w14:paraId="6FAE3F09" w14:textId="77777777" w:rsidR="00E67545" w:rsidRPr="00AA2AEA" w:rsidRDefault="00FD5916" w:rsidP="00E540DF">
            <w:pPr>
              <w:spacing w:line="276" w:lineRule="auto"/>
              <w:jc w:val="right"/>
              <w:rPr>
                <w:b/>
              </w:rPr>
            </w:pPr>
            <w:r w:rsidRPr="00AA2AEA">
              <w:rPr>
                <w:b/>
              </w:rPr>
              <w:t>8.144.000</w:t>
            </w:r>
          </w:p>
        </w:tc>
        <w:tc>
          <w:tcPr>
            <w:tcW w:w="1792" w:type="dxa"/>
            <w:tcBorders>
              <w:top w:val="nil"/>
              <w:left w:val="nil"/>
              <w:bottom w:val="single" w:sz="8" w:space="0" w:color="auto"/>
              <w:right w:val="single" w:sz="8" w:space="0" w:color="auto"/>
            </w:tcBorders>
            <w:shd w:val="clear" w:color="auto" w:fill="EEECE1"/>
            <w:noWrap/>
            <w:vAlign w:val="bottom"/>
          </w:tcPr>
          <w:p w14:paraId="0AB533B5" w14:textId="77777777" w:rsidR="00E67545" w:rsidRPr="00AA2AEA" w:rsidRDefault="00FD5916" w:rsidP="00E540DF">
            <w:pPr>
              <w:spacing w:line="276" w:lineRule="auto"/>
              <w:jc w:val="right"/>
              <w:rPr>
                <w:b/>
              </w:rPr>
            </w:pPr>
            <w:r w:rsidRPr="00AA2AEA">
              <w:rPr>
                <w:b/>
              </w:rPr>
              <w:t>6.526.663</w:t>
            </w:r>
          </w:p>
        </w:tc>
        <w:tc>
          <w:tcPr>
            <w:tcW w:w="1879" w:type="dxa"/>
            <w:tcBorders>
              <w:top w:val="nil"/>
              <w:left w:val="nil"/>
              <w:bottom w:val="single" w:sz="8" w:space="0" w:color="auto"/>
              <w:right w:val="single" w:sz="8" w:space="0" w:color="auto"/>
            </w:tcBorders>
            <w:shd w:val="clear" w:color="auto" w:fill="EEECE1"/>
            <w:noWrap/>
            <w:vAlign w:val="bottom"/>
          </w:tcPr>
          <w:p w14:paraId="648D6EE8" w14:textId="77777777" w:rsidR="00E67545" w:rsidRPr="00AA2AEA" w:rsidRDefault="00F37814" w:rsidP="00E540DF">
            <w:pPr>
              <w:spacing w:line="276" w:lineRule="auto"/>
              <w:jc w:val="center"/>
              <w:rPr>
                <w:b/>
              </w:rPr>
            </w:pPr>
            <w:r w:rsidRPr="00AA2AEA">
              <w:rPr>
                <w:b/>
              </w:rPr>
              <w:t xml:space="preserve"> 80,14</w:t>
            </w:r>
          </w:p>
        </w:tc>
      </w:tr>
      <w:tr w:rsidR="00E67545" w:rsidRPr="00AA2AEA" w14:paraId="6FB47E97" w14:textId="77777777" w:rsidTr="00FD5916">
        <w:trPr>
          <w:trHeight w:val="466"/>
          <w:jc w:val="center"/>
        </w:trPr>
        <w:tc>
          <w:tcPr>
            <w:tcW w:w="2981" w:type="dxa"/>
            <w:tcBorders>
              <w:top w:val="single" w:sz="4" w:space="0" w:color="auto"/>
              <w:left w:val="single" w:sz="4" w:space="0" w:color="auto"/>
              <w:bottom w:val="single" w:sz="4" w:space="0" w:color="auto"/>
              <w:right w:val="single" w:sz="4" w:space="0" w:color="auto"/>
            </w:tcBorders>
            <w:shd w:val="clear" w:color="auto" w:fill="C4BC96"/>
            <w:noWrap/>
            <w:vAlign w:val="bottom"/>
          </w:tcPr>
          <w:p w14:paraId="015D1E06" w14:textId="77777777" w:rsidR="00E67545" w:rsidRPr="00AA2AEA" w:rsidRDefault="00E67545" w:rsidP="00E540DF">
            <w:pPr>
              <w:spacing w:line="276" w:lineRule="auto"/>
              <w:rPr>
                <w:b/>
              </w:rPr>
            </w:pPr>
            <w:r w:rsidRPr="00AA2AEA">
              <w:rPr>
                <w:b/>
              </w:rPr>
              <w:t>GENEL TOPLAM</w:t>
            </w:r>
          </w:p>
        </w:tc>
        <w:tc>
          <w:tcPr>
            <w:tcW w:w="1480" w:type="dxa"/>
            <w:tcBorders>
              <w:top w:val="single" w:sz="4" w:space="0" w:color="auto"/>
              <w:left w:val="nil"/>
              <w:bottom w:val="single" w:sz="4" w:space="0" w:color="auto"/>
              <w:right w:val="single" w:sz="4" w:space="0" w:color="auto"/>
            </w:tcBorders>
            <w:shd w:val="clear" w:color="auto" w:fill="C4BC96"/>
            <w:noWrap/>
            <w:vAlign w:val="bottom"/>
          </w:tcPr>
          <w:p w14:paraId="6C558EB7" w14:textId="77777777" w:rsidR="00E67545" w:rsidRPr="00AA2AEA" w:rsidRDefault="00FD5916" w:rsidP="00E540DF">
            <w:pPr>
              <w:spacing w:line="276" w:lineRule="auto"/>
              <w:jc w:val="right"/>
              <w:rPr>
                <w:b/>
              </w:rPr>
            </w:pPr>
            <w:r w:rsidRPr="00AA2AEA">
              <w:rPr>
                <w:b/>
              </w:rPr>
              <w:t>46.038.000</w:t>
            </w:r>
          </w:p>
        </w:tc>
        <w:tc>
          <w:tcPr>
            <w:tcW w:w="1792" w:type="dxa"/>
            <w:tcBorders>
              <w:top w:val="single" w:sz="4" w:space="0" w:color="auto"/>
              <w:left w:val="nil"/>
              <w:bottom w:val="single" w:sz="4" w:space="0" w:color="auto"/>
              <w:right w:val="single" w:sz="4" w:space="0" w:color="auto"/>
            </w:tcBorders>
            <w:shd w:val="clear" w:color="auto" w:fill="C4BC96"/>
            <w:noWrap/>
            <w:vAlign w:val="bottom"/>
          </w:tcPr>
          <w:p w14:paraId="2950E7B6" w14:textId="77777777" w:rsidR="00E67545" w:rsidRPr="00AA2AEA" w:rsidRDefault="00E22330" w:rsidP="00E540DF">
            <w:pPr>
              <w:spacing w:line="276" w:lineRule="auto"/>
              <w:jc w:val="right"/>
              <w:rPr>
                <w:b/>
              </w:rPr>
            </w:pPr>
            <w:r w:rsidRPr="00AA2AEA">
              <w:rPr>
                <w:b/>
              </w:rPr>
              <w:t>43.504.511</w:t>
            </w:r>
          </w:p>
        </w:tc>
        <w:tc>
          <w:tcPr>
            <w:tcW w:w="1879" w:type="dxa"/>
            <w:tcBorders>
              <w:top w:val="single" w:sz="4" w:space="0" w:color="auto"/>
              <w:left w:val="nil"/>
              <w:bottom w:val="single" w:sz="4" w:space="0" w:color="auto"/>
              <w:right w:val="single" w:sz="4" w:space="0" w:color="auto"/>
            </w:tcBorders>
            <w:shd w:val="clear" w:color="auto" w:fill="C4BC96"/>
            <w:noWrap/>
            <w:vAlign w:val="bottom"/>
          </w:tcPr>
          <w:p w14:paraId="1FD5FF6B" w14:textId="77777777" w:rsidR="001D5BBE" w:rsidRPr="00AA2AEA" w:rsidRDefault="001D5BBE" w:rsidP="00E540DF">
            <w:pPr>
              <w:spacing w:line="276" w:lineRule="auto"/>
              <w:jc w:val="center"/>
              <w:rPr>
                <w:b/>
              </w:rPr>
            </w:pPr>
            <w:r w:rsidRPr="00AA2AEA">
              <w:rPr>
                <w:b/>
              </w:rPr>
              <w:t>94,50</w:t>
            </w:r>
          </w:p>
        </w:tc>
      </w:tr>
    </w:tbl>
    <w:p w14:paraId="7A695512" w14:textId="77777777" w:rsidR="00E67545" w:rsidRPr="00AA2AEA" w:rsidRDefault="00E67545" w:rsidP="00E540DF">
      <w:pPr>
        <w:pStyle w:val="GvdeMetni"/>
        <w:spacing w:line="276" w:lineRule="auto"/>
        <w:ind w:right="139" w:firstLine="708"/>
        <w:jc w:val="both"/>
        <w:rPr>
          <w:b/>
          <w:bCs/>
          <w:color w:val="333399"/>
          <w:sz w:val="24"/>
          <w:szCs w:val="24"/>
        </w:rPr>
      </w:pPr>
    </w:p>
    <w:p w14:paraId="35F19B3C" w14:textId="77777777" w:rsidR="0089084D" w:rsidRPr="00AA2AEA" w:rsidRDefault="0089084D" w:rsidP="00E540DF">
      <w:pPr>
        <w:pStyle w:val="GvdeMetni"/>
        <w:spacing w:line="276" w:lineRule="auto"/>
        <w:jc w:val="both"/>
        <w:rPr>
          <w:b/>
          <w:bCs/>
          <w:color w:val="333399"/>
          <w:sz w:val="24"/>
          <w:szCs w:val="24"/>
        </w:rPr>
      </w:pPr>
    </w:p>
    <w:p w14:paraId="10DD24D7" w14:textId="77777777" w:rsidR="001666E4" w:rsidRPr="00AA2AEA" w:rsidRDefault="001666E4" w:rsidP="00E540DF">
      <w:pPr>
        <w:pStyle w:val="GvdeMetni"/>
        <w:spacing w:line="276" w:lineRule="auto"/>
        <w:jc w:val="both"/>
        <w:rPr>
          <w:sz w:val="24"/>
          <w:szCs w:val="24"/>
        </w:rPr>
      </w:pPr>
      <w:r w:rsidRPr="00AA2AEA">
        <w:rPr>
          <w:b/>
          <w:bCs/>
          <w:color w:val="333399"/>
          <w:sz w:val="24"/>
          <w:szCs w:val="24"/>
        </w:rPr>
        <w:tab/>
      </w:r>
      <w:r w:rsidR="00823C01" w:rsidRPr="00AA2AEA">
        <w:rPr>
          <w:sz w:val="24"/>
          <w:szCs w:val="24"/>
        </w:rPr>
        <w:t xml:space="preserve">Yukarıda </w:t>
      </w:r>
      <w:r w:rsidR="00D170D2" w:rsidRPr="00AA2AEA">
        <w:rPr>
          <w:sz w:val="24"/>
          <w:szCs w:val="24"/>
        </w:rPr>
        <w:t>görüldüğü gibi, 2016</w:t>
      </w:r>
      <w:r w:rsidRPr="00AA2AEA">
        <w:rPr>
          <w:sz w:val="24"/>
          <w:szCs w:val="24"/>
        </w:rPr>
        <w:t xml:space="preserve"> yılının ilk altı ayında gerçekleşen bütçe giderleri, kurum başlangıç ödeneğinden sapma göstermektedir. Söz </w:t>
      </w:r>
      <w:r w:rsidR="005957A3" w:rsidRPr="00AA2AEA">
        <w:rPr>
          <w:sz w:val="24"/>
          <w:szCs w:val="24"/>
        </w:rPr>
        <w:t xml:space="preserve">konusu </w:t>
      </w:r>
      <w:r w:rsidR="00276566">
        <w:rPr>
          <w:sz w:val="24"/>
          <w:szCs w:val="24"/>
        </w:rPr>
        <w:t xml:space="preserve">sapmanın nedenlerine </w:t>
      </w:r>
      <w:r w:rsidR="00823C01" w:rsidRPr="00AA2AEA">
        <w:rPr>
          <w:sz w:val="24"/>
          <w:szCs w:val="24"/>
        </w:rPr>
        <w:t xml:space="preserve">ilişkin açıklamalar </w:t>
      </w:r>
      <w:r w:rsidR="009E1D18" w:rsidRPr="00AA2AEA">
        <w:rPr>
          <w:sz w:val="24"/>
          <w:szCs w:val="24"/>
        </w:rPr>
        <w:t xml:space="preserve">EK 1’ de yer alan tablo rakamları dikkate alınarak </w:t>
      </w:r>
      <w:r w:rsidR="00823C01" w:rsidRPr="00AA2AEA">
        <w:rPr>
          <w:sz w:val="24"/>
          <w:szCs w:val="24"/>
        </w:rPr>
        <w:t>aşağıda belirtilmiştir.</w:t>
      </w:r>
    </w:p>
    <w:p w14:paraId="0EDB0FFE" w14:textId="77777777" w:rsidR="009E1D18" w:rsidRPr="00AA2AEA" w:rsidRDefault="009E1D18" w:rsidP="00E540DF">
      <w:pPr>
        <w:pStyle w:val="GvdeMetni"/>
        <w:spacing w:line="276" w:lineRule="auto"/>
        <w:jc w:val="both"/>
        <w:rPr>
          <w:sz w:val="24"/>
          <w:szCs w:val="24"/>
        </w:rPr>
      </w:pPr>
    </w:p>
    <w:p w14:paraId="05014C7B" w14:textId="77777777" w:rsidR="009E1D18" w:rsidRDefault="009E1D18" w:rsidP="00E540DF">
      <w:pPr>
        <w:pStyle w:val="GvdeMetni"/>
        <w:spacing w:line="276" w:lineRule="auto"/>
        <w:jc w:val="both"/>
        <w:rPr>
          <w:sz w:val="24"/>
          <w:szCs w:val="24"/>
        </w:rPr>
      </w:pPr>
      <w:r w:rsidRPr="00AA2AEA">
        <w:rPr>
          <w:sz w:val="24"/>
          <w:szCs w:val="24"/>
        </w:rPr>
        <w:tab/>
        <w:t>Gider kalemlerinin ekonomik sınıflandırma kodlarına göre;</w:t>
      </w:r>
    </w:p>
    <w:p w14:paraId="1DDFCFEB" w14:textId="77777777" w:rsidR="00BA5B2B" w:rsidRPr="00AA2AEA" w:rsidRDefault="00BA5B2B" w:rsidP="00E540DF">
      <w:pPr>
        <w:pStyle w:val="GvdeMetni"/>
        <w:spacing w:line="276" w:lineRule="auto"/>
        <w:jc w:val="both"/>
        <w:rPr>
          <w:sz w:val="24"/>
          <w:szCs w:val="24"/>
        </w:rPr>
      </w:pPr>
    </w:p>
    <w:p w14:paraId="2E383DEB" w14:textId="77777777" w:rsidR="009E1D18" w:rsidRPr="00AA2AEA" w:rsidRDefault="009E1D18" w:rsidP="00E540DF">
      <w:pPr>
        <w:pStyle w:val="GvdeMetni"/>
        <w:spacing w:line="276" w:lineRule="auto"/>
        <w:jc w:val="both"/>
        <w:rPr>
          <w:sz w:val="24"/>
          <w:szCs w:val="24"/>
        </w:rPr>
      </w:pPr>
    </w:p>
    <w:p w14:paraId="3EAC2827" w14:textId="77777777" w:rsidR="001666E4" w:rsidRPr="00AA2AEA" w:rsidRDefault="001666E4" w:rsidP="00E540DF">
      <w:pPr>
        <w:pStyle w:val="GvdeMetni"/>
        <w:spacing w:line="276" w:lineRule="auto"/>
        <w:ind w:firstLine="708"/>
        <w:jc w:val="both"/>
        <w:rPr>
          <w:sz w:val="24"/>
          <w:szCs w:val="24"/>
        </w:rPr>
      </w:pPr>
      <w:r w:rsidRPr="00AA2AEA">
        <w:rPr>
          <w:sz w:val="24"/>
          <w:szCs w:val="24"/>
        </w:rPr>
        <w:t>03.4 Görev Giderleri kalemindeki</w:t>
      </w:r>
      <w:r w:rsidR="00964666">
        <w:rPr>
          <w:sz w:val="24"/>
          <w:szCs w:val="24"/>
        </w:rPr>
        <w:t xml:space="preserve">, başlangıç ödeneğinin </w:t>
      </w:r>
      <w:r w:rsidR="009E1D18" w:rsidRPr="00AA2AEA">
        <w:rPr>
          <w:sz w:val="24"/>
          <w:szCs w:val="24"/>
        </w:rPr>
        <w:t>684</w:t>
      </w:r>
      <w:r w:rsidRPr="00AA2AEA">
        <w:rPr>
          <w:sz w:val="24"/>
          <w:szCs w:val="24"/>
        </w:rPr>
        <w:t>.</w:t>
      </w:r>
      <w:r w:rsidR="009E1D18" w:rsidRPr="00AA2AEA">
        <w:rPr>
          <w:sz w:val="24"/>
          <w:szCs w:val="24"/>
        </w:rPr>
        <w:t>561</w:t>
      </w:r>
      <w:r w:rsidRPr="00AA2AEA">
        <w:rPr>
          <w:sz w:val="24"/>
          <w:szCs w:val="24"/>
        </w:rPr>
        <w:t xml:space="preserve">.-TL </w:t>
      </w:r>
      <w:r w:rsidR="009E1D18" w:rsidRPr="00AA2AEA">
        <w:rPr>
          <w:sz w:val="24"/>
          <w:szCs w:val="24"/>
        </w:rPr>
        <w:t>üzerind</w:t>
      </w:r>
      <w:r w:rsidR="00BA5B2B">
        <w:rPr>
          <w:sz w:val="24"/>
          <w:szCs w:val="24"/>
        </w:rPr>
        <w:t xml:space="preserve">e </w:t>
      </w:r>
      <w:r w:rsidR="009E1D18" w:rsidRPr="00AA2AEA">
        <w:rPr>
          <w:sz w:val="24"/>
          <w:szCs w:val="24"/>
        </w:rPr>
        <w:t>gerçekleşen harcamanın sebebi</w:t>
      </w:r>
      <w:r w:rsidRPr="00AA2AEA">
        <w:rPr>
          <w:sz w:val="24"/>
          <w:szCs w:val="24"/>
        </w:rPr>
        <w:t xml:space="preserve">, </w:t>
      </w:r>
      <w:r w:rsidR="00C35391" w:rsidRPr="00AA2AEA">
        <w:rPr>
          <w:sz w:val="24"/>
          <w:szCs w:val="24"/>
        </w:rPr>
        <w:t>kanunen yapılması zorunlu olan mahkeme harçları, vekalet ücretleri ile maddi ve manevi tazminat ödemeleridir.</w:t>
      </w:r>
    </w:p>
    <w:p w14:paraId="6D8D3A74" w14:textId="77777777" w:rsidR="00C35391" w:rsidRPr="00AA2AEA" w:rsidRDefault="00C35391" w:rsidP="00E540DF">
      <w:pPr>
        <w:pStyle w:val="GvdeMetni"/>
        <w:spacing w:line="276" w:lineRule="auto"/>
        <w:ind w:left="720"/>
        <w:jc w:val="both"/>
        <w:rPr>
          <w:sz w:val="24"/>
          <w:szCs w:val="24"/>
        </w:rPr>
      </w:pPr>
    </w:p>
    <w:p w14:paraId="5E086F9F" w14:textId="77777777" w:rsidR="00C35391" w:rsidRPr="00AA2AEA" w:rsidRDefault="00C35391" w:rsidP="00E540DF">
      <w:pPr>
        <w:pStyle w:val="GvdeMetni"/>
        <w:spacing w:line="276" w:lineRule="auto"/>
        <w:ind w:firstLine="708"/>
        <w:jc w:val="both"/>
        <w:rPr>
          <w:sz w:val="24"/>
          <w:szCs w:val="24"/>
        </w:rPr>
      </w:pPr>
      <w:r w:rsidRPr="00AA2AEA">
        <w:rPr>
          <w:sz w:val="24"/>
          <w:szCs w:val="24"/>
        </w:rPr>
        <w:t>03.5 Hizmet Alımları kalemindeki, başlangıç ödeneğinin 933.729.-TL üzerinde gerçekleşen harcamanın sebebi, Bütçe kanunu ile yeterli ödenek tahsisi gerçekleşmeyen bu tertibe Maliye Bakanlığının 21/12/2011 tarih ve 18009 sayılı izni ile personel servisi kiralama hizmeti alımları için ödenek eklenerek harcanması ve temizlik hizmeti alımı geri kalan miktar ise diğer hizmet alımları (yakacak, elektrik, su alımı vb.) için yapılan zorunlu giderlerdir.</w:t>
      </w:r>
    </w:p>
    <w:p w14:paraId="04AF0DCB" w14:textId="77777777" w:rsidR="00C35391" w:rsidRPr="00AA2AEA" w:rsidRDefault="00C35391" w:rsidP="00E540DF">
      <w:pPr>
        <w:pStyle w:val="GvdeMetni"/>
        <w:spacing w:line="276" w:lineRule="auto"/>
        <w:ind w:left="720"/>
        <w:jc w:val="both"/>
        <w:rPr>
          <w:sz w:val="24"/>
          <w:szCs w:val="24"/>
        </w:rPr>
      </w:pPr>
    </w:p>
    <w:p w14:paraId="4AB0CEDB" w14:textId="77777777" w:rsidR="00C35391" w:rsidRDefault="00C35391" w:rsidP="00E540DF">
      <w:pPr>
        <w:pStyle w:val="GvdeMetni"/>
        <w:spacing w:line="276" w:lineRule="auto"/>
        <w:ind w:firstLine="708"/>
        <w:jc w:val="both"/>
        <w:rPr>
          <w:rStyle w:val="Gl"/>
          <w:b w:val="0"/>
          <w:color w:val="000000"/>
          <w:sz w:val="24"/>
          <w:szCs w:val="24"/>
        </w:rPr>
      </w:pPr>
      <w:r w:rsidRPr="00AA2AEA">
        <w:rPr>
          <w:sz w:val="24"/>
          <w:szCs w:val="24"/>
        </w:rPr>
        <w:t xml:space="preserve">03.6 Temsil ve Tanıtma Giderleri kalemindeki, başlangıç ödeneğinin 12.914.-TL üzerinde gerçekleşen harcamanın sebebi, Bütçe Kanunu ile yeterli ödenek tahsisi </w:t>
      </w:r>
      <w:r w:rsidRPr="00AA2AEA">
        <w:rPr>
          <w:sz w:val="24"/>
          <w:szCs w:val="24"/>
        </w:rPr>
        <w:lastRenderedPageBreak/>
        <w:t>gerçekleşmeyen</w:t>
      </w:r>
      <w:r w:rsidR="00CD3DCF" w:rsidRPr="00AA2AEA">
        <w:rPr>
          <w:sz w:val="24"/>
          <w:szCs w:val="24"/>
        </w:rPr>
        <w:t xml:space="preserve"> </w:t>
      </w:r>
      <w:r w:rsidR="00CD3DCF" w:rsidRPr="00AA2AEA">
        <w:rPr>
          <w:rStyle w:val="Gl"/>
          <w:b w:val="0"/>
          <w:color w:val="000000"/>
          <w:sz w:val="24"/>
          <w:szCs w:val="24"/>
        </w:rPr>
        <w:t>Kurulumuz Başkanlığını yurtiçi ve yurtdışında tanıtmaya yönelik temsil, ağırlama, tören, fuar ve organizasyon giderleri için</w:t>
      </w:r>
      <w:r w:rsidR="00AA2AEA" w:rsidRPr="00AA2AEA">
        <w:rPr>
          <w:rStyle w:val="Gl"/>
          <w:b w:val="0"/>
          <w:color w:val="000000"/>
          <w:sz w:val="24"/>
          <w:szCs w:val="24"/>
        </w:rPr>
        <w:t xml:space="preserve"> yapılan harcamalardır.</w:t>
      </w:r>
    </w:p>
    <w:p w14:paraId="7BFC848B" w14:textId="77777777" w:rsidR="00AA2AEA" w:rsidRDefault="00AA2AEA" w:rsidP="00E540DF">
      <w:pPr>
        <w:pStyle w:val="GvdeMetni"/>
        <w:spacing w:line="276" w:lineRule="auto"/>
        <w:ind w:left="720"/>
        <w:jc w:val="both"/>
        <w:rPr>
          <w:rStyle w:val="Gl"/>
          <w:b w:val="0"/>
          <w:color w:val="000000"/>
          <w:sz w:val="24"/>
          <w:szCs w:val="24"/>
        </w:rPr>
      </w:pPr>
    </w:p>
    <w:p w14:paraId="2175B24C" w14:textId="77777777" w:rsidR="00AA2AEA" w:rsidRDefault="00AA2AEA" w:rsidP="00E540DF">
      <w:pPr>
        <w:pStyle w:val="GvdeMetni"/>
        <w:spacing w:line="276" w:lineRule="auto"/>
        <w:ind w:firstLine="708"/>
        <w:jc w:val="both"/>
        <w:rPr>
          <w:sz w:val="24"/>
          <w:szCs w:val="24"/>
        </w:rPr>
      </w:pPr>
      <w:r>
        <w:rPr>
          <w:rStyle w:val="Gl"/>
          <w:b w:val="0"/>
          <w:color w:val="000000"/>
          <w:sz w:val="24"/>
          <w:szCs w:val="24"/>
        </w:rPr>
        <w:t xml:space="preserve">03.7 Menkul Mal, Gayrımaddi Hak Alım, Bakım ve Onarım </w:t>
      </w:r>
      <w:r w:rsidRPr="00AA2AEA">
        <w:rPr>
          <w:sz w:val="24"/>
          <w:szCs w:val="24"/>
        </w:rPr>
        <w:t>Giderleri kale</w:t>
      </w:r>
      <w:r w:rsidR="00555EDD">
        <w:rPr>
          <w:sz w:val="24"/>
          <w:szCs w:val="24"/>
        </w:rPr>
        <w:t>mindeki, başlangıç ödeneğinin 11.603</w:t>
      </w:r>
      <w:r w:rsidRPr="00AA2AEA">
        <w:rPr>
          <w:sz w:val="24"/>
          <w:szCs w:val="24"/>
        </w:rPr>
        <w:t>.-TL üzerinde gerçekleşen harcamanın sebebi,</w:t>
      </w:r>
      <w:r w:rsidR="00275F39" w:rsidRPr="00275F39">
        <w:rPr>
          <w:sz w:val="24"/>
          <w:szCs w:val="24"/>
        </w:rPr>
        <w:t xml:space="preserve"> </w:t>
      </w:r>
      <w:r w:rsidR="00275F39" w:rsidRPr="00AA2AEA">
        <w:rPr>
          <w:sz w:val="24"/>
          <w:szCs w:val="24"/>
        </w:rPr>
        <w:t xml:space="preserve">Bütçe Kanunu ile yeterli ödenek tahsisi gerçekleşmeyen </w:t>
      </w:r>
      <w:r w:rsidR="00275F39" w:rsidRPr="00AA2AEA">
        <w:rPr>
          <w:rStyle w:val="Gl"/>
          <w:b w:val="0"/>
          <w:color w:val="000000"/>
          <w:sz w:val="24"/>
          <w:szCs w:val="24"/>
        </w:rPr>
        <w:t xml:space="preserve">Kurulumuz </w:t>
      </w:r>
      <w:r w:rsidR="00275F39">
        <w:rPr>
          <w:rStyle w:val="Gl"/>
          <w:b w:val="0"/>
          <w:color w:val="000000"/>
          <w:sz w:val="24"/>
          <w:szCs w:val="24"/>
        </w:rPr>
        <w:t>Başkanlığı</w:t>
      </w:r>
      <w:r w:rsidR="00275F39" w:rsidRPr="000B0A15">
        <w:rPr>
          <w:sz w:val="24"/>
          <w:szCs w:val="24"/>
        </w:rPr>
        <w:t xml:space="preserve"> enva</w:t>
      </w:r>
      <w:r w:rsidR="00275F39">
        <w:rPr>
          <w:sz w:val="24"/>
          <w:szCs w:val="24"/>
        </w:rPr>
        <w:t>nterine kayıtlı her türlü makine</w:t>
      </w:r>
      <w:r w:rsidR="00275F39" w:rsidRPr="000B0A15">
        <w:rPr>
          <w:sz w:val="24"/>
          <w:szCs w:val="24"/>
        </w:rPr>
        <w:t>-teçhizat ve demirbaşın tam</w:t>
      </w:r>
      <w:r w:rsidR="00275F39">
        <w:rPr>
          <w:sz w:val="24"/>
          <w:szCs w:val="24"/>
        </w:rPr>
        <w:t>ir, bakım-onarımı için verilen</w:t>
      </w:r>
      <w:r w:rsidR="00275F39" w:rsidRPr="000B0A15">
        <w:rPr>
          <w:sz w:val="24"/>
          <w:szCs w:val="24"/>
        </w:rPr>
        <w:t xml:space="preserve"> işçilik ücretleri ile bakım onarım malzemeleri ve bunlara ait yedek parçaların satın </w:t>
      </w:r>
      <w:r w:rsidR="00275F39">
        <w:rPr>
          <w:sz w:val="24"/>
          <w:szCs w:val="24"/>
        </w:rPr>
        <w:t>alınmasıyla ilgili giderler ve</w:t>
      </w:r>
      <w:r w:rsidR="00275F39" w:rsidRPr="000B0A15">
        <w:rPr>
          <w:sz w:val="24"/>
          <w:szCs w:val="24"/>
        </w:rPr>
        <w:t xml:space="preserve"> </w:t>
      </w:r>
      <w:r w:rsidR="00275F39" w:rsidRPr="00B82E93">
        <w:rPr>
          <w:sz w:val="24"/>
          <w:szCs w:val="24"/>
        </w:rPr>
        <w:t>Kurumda</w:t>
      </w:r>
      <w:r w:rsidR="00275F39">
        <w:rPr>
          <w:sz w:val="24"/>
          <w:szCs w:val="24"/>
        </w:rPr>
        <w:t xml:space="preserve"> kullanılan donanım ve yazılımların bakım ve teknik destek ihtiyacı için gerekli olarak yapılan giderlerdir.</w:t>
      </w:r>
    </w:p>
    <w:p w14:paraId="3B45D35E" w14:textId="77777777" w:rsidR="00FF014F" w:rsidRDefault="00FF014F" w:rsidP="00E540DF">
      <w:pPr>
        <w:pStyle w:val="GvdeMetni"/>
        <w:spacing w:line="276" w:lineRule="auto"/>
        <w:ind w:firstLine="708"/>
        <w:jc w:val="both"/>
        <w:rPr>
          <w:sz w:val="24"/>
          <w:szCs w:val="24"/>
        </w:rPr>
      </w:pPr>
    </w:p>
    <w:p w14:paraId="00CA9B1D" w14:textId="77777777" w:rsidR="00FF014F" w:rsidRPr="00AA2AEA" w:rsidRDefault="00FF014F" w:rsidP="00E540DF">
      <w:pPr>
        <w:pStyle w:val="GvdeMetni"/>
        <w:spacing w:line="276" w:lineRule="auto"/>
        <w:ind w:firstLine="708"/>
        <w:jc w:val="both"/>
        <w:rPr>
          <w:b/>
          <w:sz w:val="24"/>
          <w:szCs w:val="24"/>
        </w:rPr>
      </w:pPr>
      <w:r>
        <w:rPr>
          <w:sz w:val="24"/>
          <w:szCs w:val="24"/>
        </w:rPr>
        <w:t>05.2 Hazine Yardımları kalemindeki başlangıç ödeneğinin 14.760.648.-TL üzerinde gerçekleşen harcamanın sebebi ise Kurulumuz tarafından yürütülen Farabi Değişim Programı, Mevlana Değişim Programı ile Öğretim üyesi Yetiştirme Programı için yapılan transferlerdir.</w:t>
      </w:r>
    </w:p>
    <w:p w14:paraId="77AD5277" w14:textId="77777777" w:rsidR="005957A3" w:rsidRPr="00AA2AEA" w:rsidRDefault="005957A3" w:rsidP="005957A3">
      <w:pPr>
        <w:ind w:firstLine="340"/>
        <w:jc w:val="both"/>
      </w:pPr>
    </w:p>
    <w:p w14:paraId="4F41A281" w14:textId="77777777" w:rsidR="0089084D" w:rsidRDefault="0089084D" w:rsidP="00885C2B">
      <w:pPr>
        <w:pStyle w:val="GvdeMetni"/>
        <w:jc w:val="both"/>
        <w:rPr>
          <w:sz w:val="24"/>
          <w:szCs w:val="24"/>
        </w:rPr>
      </w:pPr>
    </w:p>
    <w:p w14:paraId="24041D3C" w14:textId="77777777" w:rsidR="00E540DF" w:rsidRDefault="00E540DF" w:rsidP="00885C2B">
      <w:pPr>
        <w:pStyle w:val="GvdeMetni"/>
        <w:jc w:val="both"/>
        <w:rPr>
          <w:sz w:val="24"/>
          <w:szCs w:val="24"/>
        </w:rPr>
      </w:pPr>
    </w:p>
    <w:p w14:paraId="4CE24FA0" w14:textId="77777777" w:rsidR="00E540DF" w:rsidRDefault="00E540DF" w:rsidP="00885C2B">
      <w:pPr>
        <w:pStyle w:val="GvdeMetni"/>
        <w:jc w:val="both"/>
        <w:rPr>
          <w:sz w:val="24"/>
          <w:szCs w:val="24"/>
        </w:rPr>
      </w:pPr>
    </w:p>
    <w:p w14:paraId="21159C3F" w14:textId="77777777" w:rsidR="00E540DF" w:rsidRPr="00AA2AEA" w:rsidRDefault="00E540DF" w:rsidP="00885C2B">
      <w:pPr>
        <w:pStyle w:val="GvdeMetni"/>
        <w:jc w:val="both"/>
        <w:rPr>
          <w:sz w:val="24"/>
          <w:szCs w:val="24"/>
        </w:rPr>
      </w:pPr>
    </w:p>
    <w:p w14:paraId="5517DEAC" w14:textId="77777777" w:rsidR="00D379CD" w:rsidRPr="00064168" w:rsidRDefault="00D379CD" w:rsidP="00064168">
      <w:pPr>
        <w:pStyle w:val="GvdeMetni"/>
        <w:spacing w:before="120" w:after="120" w:line="312" w:lineRule="auto"/>
        <w:ind w:right="-288" w:firstLine="708"/>
        <w:jc w:val="both"/>
        <w:rPr>
          <w:b/>
          <w:sz w:val="24"/>
          <w:szCs w:val="24"/>
        </w:rPr>
      </w:pPr>
      <w:r w:rsidRPr="00AA2AEA">
        <w:rPr>
          <w:b/>
          <w:sz w:val="24"/>
          <w:szCs w:val="24"/>
        </w:rPr>
        <w:t xml:space="preserve">B. </w:t>
      </w:r>
      <w:r w:rsidR="0089084D" w:rsidRPr="00AA2AEA">
        <w:rPr>
          <w:b/>
          <w:sz w:val="24"/>
          <w:szCs w:val="24"/>
        </w:rPr>
        <w:t>Bütçe Gelirleri</w:t>
      </w:r>
    </w:p>
    <w:p w14:paraId="0FC658C2" w14:textId="77777777" w:rsidR="0033737C" w:rsidRPr="00AA2AEA" w:rsidRDefault="000B21E9" w:rsidP="0033737C">
      <w:pPr>
        <w:pStyle w:val="GvdeMetni"/>
        <w:spacing w:before="120" w:after="120" w:line="312" w:lineRule="auto"/>
        <w:ind w:right="-2" w:firstLine="708"/>
        <w:jc w:val="both"/>
        <w:rPr>
          <w:sz w:val="24"/>
          <w:szCs w:val="24"/>
        </w:rPr>
      </w:pPr>
      <w:r w:rsidRPr="00AA2AEA">
        <w:rPr>
          <w:sz w:val="24"/>
          <w:szCs w:val="24"/>
        </w:rPr>
        <w:t>2016</w:t>
      </w:r>
      <w:r w:rsidR="0089084D" w:rsidRPr="00AA2AEA">
        <w:rPr>
          <w:sz w:val="24"/>
          <w:szCs w:val="24"/>
        </w:rPr>
        <w:t xml:space="preserve"> Mali yılı Ocak-Haziran dönemi itibariyle bütçe g</w:t>
      </w:r>
      <w:r w:rsidR="004C44FF" w:rsidRPr="00AA2AEA">
        <w:rPr>
          <w:sz w:val="24"/>
          <w:szCs w:val="24"/>
        </w:rPr>
        <w:t xml:space="preserve">elirleri toplam </w:t>
      </w:r>
      <w:r w:rsidRPr="00AA2AEA">
        <w:rPr>
          <w:sz w:val="24"/>
          <w:szCs w:val="24"/>
        </w:rPr>
        <w:t>138</w:t>
      </w:r>
      <w:r w:rsidR="00210805" w:rsidRPr="00AA2AEA">
        <w:rPr>
          <w:sz w:val="24"/>
          <w:szCs w:val="24"/>
        </w:rPr>
        <w:t>.</w:t>
      </w:r>
      <w:r w:rsidRPr="00AA2AEA">
        <w:rPr>
          <w:sz w:val="24"/>
          <w:szCs w:val="24"/>
        </w:rPr>
        <w:t>896.766</w:t>
      </w:r>
      <w:r w:rsidR="004C44FF" w:rsidRPr="00AA2AEA">
        <w:rPr>
          <w:sz w:val="24"/>
          <w:szCs w:val="24"/>
        </w:rPr>
        <w:t xml:space="preserve">.-TL </w:t>
      </w:r>
      <w:r w:rsidR="0089084D" w:rsidRPr="00AA2AEA">
        <w:rPr>
          <w:sz w:val="24"/>
          <w:szCs w:val="24"/>
        </w:rPr>
        <w:t xml:space="preserve">olarak gerçekleşmiş olup, </w:t>
      </w:r>
      <w:r w:rsidR="00BA4955" w:rsidRPr="00AA2AEA">
        <w:rPr>
          <w:sz w:val="24"/>
          <w:szCs w:val="24"/>
        </w:rPr>
        <w:t>a</w:t>
      </w:r>
      <w:r w:rsidR="0089084D" w:rsidRPr="00AA2AEA">
        <w:rPr>
          <w:sz w:val="24"/>
          <w:szCs w:val="24"/>
        </w:rPr>
        <w:t>ynı döneme a</w:t>
      </w:r>
      <w:r w:rsidRPr="00AA2AEA">
        <w:rPr>
          <w:sz w:val="24"/>
          <w:szCs w:val="24"/>
        </w:rPr>
        <w:t>it ekonomik sınıflandırmanın ikinci</w:t>
      </w:r>
      <w:r w:rsidR="00210805" w:rsidRPr="00AA2AEA">
        <w:rPr>
          <w:sz w:val="24"/>
          <w:szCs w:val="24"/>
        </w:rPr>
        <w:t xml:space="preserve"> düzeyinde yer alan gelir g</w:t>
      </w:r>
      <w:r w:rsidR="0089084D" w:rsidRPr="00AA2AEA">
        <w:rPr>
          <w:sz w:val="24"/>
          <w:szCs w:val="24"/>
        </w:rPr>
        <w:t xml:space="preserve">rupları itibariyle </w:t>
      </w:r>
      <w:r w:rsidR="00B1279F" w:rsidRPr="00AA2AEA">
        <w:rPr>
          <w:sz w:val="24"/>
          <w:szCs w:val="24"/>
        </w:rPr>
        <w:t xml:space="preserve">bütçeye yansıyan </w:t>
      </w:r>
      <w:r w:rsidR="0089084D" w:rsidRPr="00AA2AEA">
        <w:rPr>
          <w:sz w:val="24"/>
          <w:szCs w:val="24"/>
        </w:rPr>
        <w:t>gerçekleşme rakamları ve gelirlerin gelişimine ait tablo raporun ekinde yer almaktadır.</w:t>
      </w:r>
      <w:r w:rsidRPr="00AA2AEA">
        <w:rPr>
          <w:sz w:val="24"/>
          <w:szCs w:val="24"/>
        </w:rPr>
        <w:t>(EK: 2)</w:t>
      </w:r>
    </w:p>
    <w:p w14:paraId="4747D003" w14:textId="77777777" w:rsidR="00801BFE" w:rsidRPr="00AA2AEA" w:rsidRDefault="00801BFE" w:rsidP="0033737C">
      <w:pPr>
        <w:pStyle w:val="GvdeMetni"/>
        <w:spacing w:before="120" w:after="120" w:line="312" w:lineRule="auto"/>
        <w:ind w:right="-2" w:firstLine="708"/>
        <w:jc w:val="both"/>
        <w:rPr>
          <w:sz w:val="24"/>
          <w:szCs w:val="24"/>
        </w:rPr>
      </w:pPr>
      <w:r w:rsidRPr="00AA2AEA">
        <w:rPr>
          <w:sz w:val="24"/>
          <w:szCs w:val="24"/>
        </w:rPr>
        <w:t>2015 yılının aynı dönemine göre %301,70 üzerinde gerçekleşen gelirlerimizin en önemli kısmını 2016 Yılı Merkezi Yönetim Bütçe Kanununa ekli “E Cetveli” 77 nci maddesine göre Anadolu Üniversitesi Döner Sermaye Müdürlüğü hesaplarından Kurulumuz hesaplarına aktarılan 100.000.000.-TL tutarında kaynaktır. Söz konusu kaynak Farabi Değişim programı, Mevlana Değişim Programı ile Öğretim Üyesi Yetiştirme Programları kapsamında ilgili üniversitelere transfer edilmektedir.</w:t>
      </w:r>
    </w:p>
    <w:p w14:paraId="2903CC26" w14:textId="77777777" w:rsidR="00801BFE" w:rsidRPr="00AA2AEA" w:rsidRDefault="00801BFE" w:rsidP="0033737C">
      <w:pPr>
        <w:pStyle w:val="GvdeMetni"/>
        <w:spacing w:before="120" w:after="120" w:line="312" w:lineRule="auto"/>
        <w:ind w:right="-2" w:firstLine="708"/>
        <w:jc w:val="both"/>
        <w:rPr>
          <w:sz w:val="24"/>
          <w:szCs w:val="24"/>
        </w:rPr>
      </w:pPr>
      <w:r w:rsidRPr="00AA2AEA">
        <w:rPr>
          <w:sz w:val="24"/>
          <w:szCs w:val="24"/>
        </w:rPr>
        <w:t>2016 yılı içerisinde Merkezi Yönetim Büt</w:t>
      </w:r>
      <w:r w:rsidR="00276566">
        <w:rPr>
          <w:sz w:val="24"/>
          <w:szCs w:val="24"/>
        </w:rPr>
        <w:t>çe Kanunu ile Başkanlığımıza 46.038.000.-</w:t>
      </w:r>
      <w:r w:rsidR="007F78F0">
        <w:rPr>
          <w:sz w:val="24"/>
          <w:szCs w:val="24"/>
        </w:rPr>
        <w:t>TL gelir planlaması yapılmış</w:t>
      </w:r>
      <w:r w:rsidRPr="00AA2AEA">
        <w:rPr>
          <w:sz w:val="24"/>
          <w:szCs w:val="24"/>
        </w:rPr>
        <w:t xml:space="preserve"> olup bunun </w:t>
      </w:r>
      <w:r w:rsidR="00276566">
        <w:rPr>
          <w:sz w:val="24"/>
          <w:szCs w:val="24"/>
        </w:rPr>
        <w:t>45.936.000.-</w:t>
      </w:r>
      <w:r w:rsidRPr="00AA2AEA">
        <w:rPr>
          <w:sz w:val="24"/>
          <w:szCs w:val="24"/>
        </w:rPr>
        <w:t>TL si hazine yardımıdır. Ancak hazine yardımı tahakkuklarımız gerçekleşmemiştir. Bunun yanı sıra</w:t>
      </w:r>
      <w:r w:rsidR="00276566">
        <w:rPr>
          <w:sz w:val="24"/>
          <w:szCs w:val="24"/>
        </w:rPr>
        <w:t xml:space="preserve"> 2.776.688.- </w:t>
      </w:r>
      <w:r w:rsidRPr="00AA2AEA">
        <w:rPr>
          <w:sz w:val="24"/>
          <w:szCs w:val="24"/>
        </w:rPr>
        <w:t>TL faiz geliri elde edilmiştir.</w:t>
      </w:r>
    </w:p>
    <w:p w14:paraId="11BB851B" w14:textId="77777777" w:rsidR="00A816DF" w:rsidRPr="00AA2AEA" w:rsidRDefault="00A816DF" w:rsidP="0033737C">
      <w:pPr>
        <w:pStyle w:val="GvdeMetni"/>
        <w:spacing w:before="120" w:after="120" w:line="312" w:lineRule="auto"/>
        <w:ind w:right="-2" w:firstLine="708"/>
        <w:jc w:val="both"/>
        <w:rPr>
          <w:sz w:val="24"/>
          <w:szCs w:val="24"/>
        </w:rPr>
      </w:pPr>
    </w:p>
    <w:p w14:paraId="61EE123B" w14:textId="77777777" w:rsidR="00A816DF" w:rsidRPr="00AA2AEA" w:rsidRDefault="00A816DF" w:rsidP="0033737C">
      <w:pPr>
        <w:pStyle w:val="GvdeMetni"/>
        <w:spacing w:before="120" w:after="120" w:line="312" w:lineRule="auto"/>
        <w:ind w:right="-2" w:firstLine="708"/>
        <w:jc w:val="both"/>
        <w:rPr>
          <w:b/>
          <w:sz w:val="24"/>
          <w:szCs w:val="24"/>
        </w:rPr>
      </w:pPr>
      <w:r w:rsidRPr="00AA2AEA">
        <w:rPr>
          <w:b/>
          <w:sz w:val="24"/>
          <w:szCs w:val="24"/>
        </w:rPr>
        <w:t>C. Finansman</w:t>
      </w:r>
    </w:p>
    <w:p w14:paraId="053E4ED5" w14:textId="77777777" w:rsidR="00A816DF" w:rsidRPr="00AA2AEA" w:rsidRDefault="00A816DF" w:rsidP="00A816DF">
      <w:pPr>
        <w:pStyle w:val="GvdeMetni"/>
        <w:spacing w:before="120" w:after="120" w:line="312" w:lineRule="auto"/>
        <w:ind w:right="-2" w:firstLine="708"/>
        <w:jc w:val="both"/>
        <w:rPr>
          <w:sz w:val="24"/>
          <w:szCs w:val="24"/>
        </w:rPr>
      </w:pPr>
      <w:r w:rsidRPr="00AA2AEA">
        <w:rPr>
          <w:sz w:val="24"/>
          <w:szCs w:val="24"/>
        </w:rPr>
        <w:t xml:space="preserve">Kurulumuz 5018 sayılı Kanuna ekli II sayılı cetvelde yer alan özel bütçeli bir kurum olması sebebiyle bütçe giderlerinin tamamına yakını Merkezi Yönetim Bütçesinden alınan ödeneklerden karşılanmaktadır. Bu ödeneklerle birlikte 2016 yılı ikinci altı aylık dönemde </w:t>
      </w:r>
      <w:r w:rsidRPr="00AA2AEA">
        <w:rPr>
          <w:sz w:val="24"/>
          <w:szCs w:val="24"/>
        </w:rPr>
        <w:lastRenderedPageBreak/>
        <w:t>Kurulumuza ait giderlerimizi finanse etmek amacıy</w:t>
      </w:r>
      <w:r w:rsidR="00FA65B9" w:rsidRPr="00AA2AEA">
        <w:rPr>
          <w:sz w:val="24"/>
          <w:szCs w:val="24"/>
        </w:rPr>
        <w:t>la banka mevcutlarımızda vadeli</w:t>
      </w:r>
      <w:r w:rsidRPr="00AA2AEA">
        <w:rPr>
          <w:sz w:val="24"/>
          <w:szCs w:val="24"/>
        </w:rPr>
        <w:t xml:space="preserve"> hesaplarda bulunan nakit miktarları ile mevduata işletilen faiz kullanılacaktır.</w:t>
      </w:r>
    </w:p>
    <w:p w14:paraId="4262FC59" w14:textId="77777777" w:rsidR="00801BFE" w:rsidRPr="00AA2AEA" w:rsidRDefault="00801BFE" w:rsidP="0033737C">
      <w:pPr>
        <w:pStyle w:val="GvdeMetni"/>
        <w:spacing w:before="120" w:after="120" w:line="312" w:lineRule="auto"/>
        <w:ind w:right="-2" w:firstLine="708"/>
        <w:jc w:val="both"/>
        <w:rPr>
          <w:sz w:val="24"/>
          <w:szCs w:val="24"/>
        </w:rPr>
      </w:pPr>
    </w:p>
    <w:p w14:paraId="6A77BA4C" w14:textId="77777777" w:rsidR="00FE7C01" w:rsidRPr="00AA2AEA" w:rsidRDefault="00FE7C01" w:rsidP="0033737C">
      <w:pPr>
        <w:pStyle w:val="GvdeMetni"/>
        <w:spacing w:before="120" w:after="120" w:line="312" w:lineRule="auto"/>
        <w:ind w:right="-2" w:firstLine="708"/>
        <w:jc w:val="both"/>
        <w:rPr>
          <w:sz w:val="24"/>
          <w:szCs w:val="24"/>
        </w:rPr>
      </w:pPr>
    </w:p>
    <w:p w14:paraId="0E32D8E5" w14:textId="77777777" w:rsidR="0005656D" w:rsidRPr="00AA2AEA" w:rsidRDefault="0005656D" w:rsidP="0033737C">
      <w:pPr>
        <w:pStyle w:val="GvdeMetni"/>
        <w:spacing w:before="120" w:after="120" w:line="312" w:lineRule="auto"/>
        <w:ind w:right="-2" w:firstLine="708"/>
        <w:jc w:val="both"/>
        <w:rPr>
          <w:sz w:val="24"/>
          <w:szCs w:val="24"/>
        </w:rPr>
      </w:pPr>
    </w:p>
    <w:p w14:paraId="4FB77027" w14:textId="77777777" w:rsidR="0005656D" w:rsidRPr="00AA2AEA" w:rsidRDefault="0005656D" w:rsidP="0033737C">
      <w:pPr>
        <w:pStyle w:val="GvdeMetni"/>
        <w:spacing w:before="120" w:after="120" w:line="312" w:lineRule="auto"/>
        <w:ind w:right="-2" w:firstLine="708"/>
        <w:jc w:val="both"/>
        <w:rPr>
          <w:sz w:val="24"/>
          <w:szCs w:val="24"/>
        </w:rPr>
      </w:pPr>
    </w:p>
    <w:p w14:paraId="4B567364" w14:textId="77777777" w:rsidR="00E67545" w:rsidRPr="00AA2AEA" w:rsidRDefault="0088762B" w:rsidP="00D379CD">
      <w:pPr>
        <w:pStyle w:val="GvdeMetni"/>
        <w:spacing w:before="120" w:after="120" w:line="312" w:lineRule="auto"/>
        <w:ind w:right="-2" w:firstLine="708"/>
        <w:jc w:val="both"/>
        <w:rPr>
          <w:b/>
          <w:sz w:val="24"/>
          <w:szCs w:val="24"/>
        </w:rPr>
      </w:pPr>
      <w:r w:rsidRPr="00AA2AEA">
        <w:rPr>
          <w:b/>
          <w:sz w:val="24"/>
          <w:szCs w:val="24"/>
        </w:rPr>
        <w:t>II- OCAK-HAZİ</w:t>
      </w:r>
      <w:r w:rsidR="00E67545" w:rsidRPr="00AA2AEA">
        <w:rPr>
          <w:b/>
          <w:sz w:val="24"/>
          <w:szCs w:val="24"/>
        </w:rPr>
        <w:t xml:space="preserve">RAN </w:t>
      </w:r>
      <w:r w:rsidR="00AA335D" w:rsidRPr="00AA2AEA">
        <w:rPr>
          <w:b/>
          <w:sz w:val="24"/>
          <w:szCs w:val="24"/>
        </w:rPr>
        <w:t>20</w:t>
      </w:r>
      <w:r w:rsidR="00076B72">
        <w:rPr>
          <w:b/>
          <w:sz w:val="24"/>
          <w:szCs w:val="24"/>
        </w:rPr>
        <w:t>16</w:t>
      </w:r>
      <w:r w:rsidR="00AA335D" w:rsidRPr="00AA2AEA">
        <w:rPr>
          <w:b/>
          <w:sz w:val="24"/>
          <w:szCs w:val="24"/>
        </w:rPr>
        <w:t xml:space="preserve"> </w:t>
      </w:r>
      <w:r w:rsidRPr="00AA2AEA">
        <w:rPr>
          <w:b/>
          <w:sz w:val="24"/>
          <w:szCs w:val="24"/>
        </w:rPr>
        <w:t>DÖNEMİNDE YÜRÜ</w:t>
      </w:r>
      <w:r w:rsidR="00E67545" w:rsidRPr="00AA2AEA">
        <w:rPr>
          <w:b/>
          <w:sz w:val="24"/>
          <w:szCs w:val="24"/>
        </w:rPr>
        <w:t>TÜLEN FAALİYETLER</w:t>
      </w:r>
    </w:p>
    <w:p w14:paraId="4E959A65" w14:textId="77777777" w:rsidR="00E67545" w:rsidRPr="00AA2AEA" w:rsidRDefault="00E67545" w:rsidP="00D379CD">
      <w:pPr>
        <w:pStyle w:val="GvdeMetni"/>
        <w:spacing w:before="120" w:after="120" w:line="312" w:lineRule="auto"/>
        <w:ind w:right="-2" w:firstLine="708"/>
        <w:jc w:val="both"/>
        <w:rPr>
          <w:sz w:val="24"/>
          <w:szCs w:val="24"/>
        </w:rPr>
      </w:pPr>
    </w:p>
    <w:p w14:paraId="5C50F114" w14:textId="77777777"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Yükseköğretim Kurulu, 2547 sayılı Kanunda b</w:t>
      </w:r>
      <w:r w:rsidR="0005656D" w:rsidRPr="00AA2AEA">
        <w:rPr>
          <w:sz w:val="24"/>
          <w:szCs w:val="24"/>
        </w:rPr>
        <w:t>elirlenen</w:t>
      </w:r>
      <w:r w:rsidRPr="00AA2AEA">
        <w:rPr>
          <w:sz w:val="24"/>
          <w:szCs w:val="24"/>
        </w:rPr>
        <w:t xml:space="preserve"> amaç, hedef ve ilkeler doğrultusunda yükseköğretim kurumlarının kurulması, geliştirilmesi, eğitim-öğretim faaliyetlerinin gerçekleştirilmesi, yükseköğretim alanlarının ihtiyaç duyduğu öğretim elemanlarının yurt içinde ve yurt dışında yetiştirilmesi için </w:t>
      </w:r>
      <w:r w:rsidR="008C7536" w:rsidRPr="00AA2AEA">
        <w:rPr>
          <w:sz w:val="24"/>
          <w:szCs w:val="24"/>
        </w:rPr>
        <w:t>kurumsal anlamda yürütülen faaliyetlere bu döne</w:t>
      </w:r>
      <w:r w:rsidR="00106157" w:rsidRPr="00AA2AEA">
        <w:rPr>
          <w:sz w:val="24"/>
          <w:szCs w:val="24"/>
        </w:rPr>
        <w:t>m içerisinde de devam etmiştir</w:t>
      </w:r>
      <w:r w:rsidR="008C7536" w:rsidRPr="00AA2AEA">
        <w:rPr>
          <w:sz w:val="24"/>
          <w:szCs w:val="24"/>
        </w:rPr>
        <w:t>.</w:t>
      </w:r>
    </w:p>
    <w:p w14:paraId="283D64AF" w14:textId="77777777" w:rsidR="0059246A" w:rsidRPr="00AA2AEA" w:rsidRDefault="0059246A" w:rsidP="00F83E9D">
      <w:pPr>
        <w:pStyle w:val="GvdeMetni"/>
        <w:spacing w:before="120" w:after="120" w:line="312" w:lineRule="auto"/>
        <w:ind w:right="-2"/>
        <w:jc w:val="both"/>
        <w:rPr>
          <w:sz w:val="24"/>
          <w:szCs w:val="24"/>
        </w:rPr>
      </w:pPr>
    </w:p>
    <w:p w14:paraId="564C4DF0" w14:textId="77777777" w:rsidR="00E67545" w:rsidRPr="00AA2AEA" w:rsidRDefault="00E67545" w:rsidP="00D379CD">
      <w:pPr>
        <w:pStyle w:val="GvdeMetni"/>
        <w:numPr>
          <w:ilvl w:val="0"/>
          <w:numId w:val="4"/>
        </w:numPr>
        <w:spacing w:before="120" w:after="120" w:line="312" w:lineRule="auto"/>
        <w:ind w:left="1134" w:right="-2" w:hanging="425"/>
        <w:jc w:val="both"/>
        <w:rPr>
          <w:b/>
          <w:sz w:val="24"/>
          <w:szCs w:val="24"/>
        </w:rPr>
      </w:pPr>
      <w:r w:rsidRPr="00AA2AEA">
        <w:rPr>
          <w:b/>
          <w:sz w:val="24"/>
          <w:szCs w:val="24"/>
        </w:rPr>
        <w:t>TEMMUZ-ARALIK 20</w:t>
      </w:r>
      <w:r w:rsidR="00106157" w:rsidRPr="00AA2AEA">
        <w:rPr>
          <w:b/>
          <w:sz w:val="24"/>
          <w:szCs w:val="24"/>
        </w:rPr>
        <w:t>16</w:t>
      </w:r>
      <w:r w:rsidRPr="00AA2AEA">
        <w:rPr>
          <w:b/>
          <w:sz w:val="24"/>
          <w:szCs w:val="24"/>
        </w:rPr>
        <w:t xml:space="preserve"> DÖNEMİNE İLİŞKİN</w:t>
      </w:r>
      <w:r w:rsidR="00562D90" w:rsidRPr="00AA2AEA">
        <w:rPr>
          <w:b/>
          <w:sz w:val="24"/>
          <w:szCs w:val="24"/>
        </w:rPr>
        <w:t xml:space="preserve"> </w:t>
      </w:r>
      <w:r w:rsidRPr="00AA2AEA">
        <w:rPr>
          <w:b/>
          <w:sz w:val="24"/>
          <w:szCs w:val="24"/>
        </w:rPr>
        <w:t>BEKLENT</w:t>
      </w:r>
      <w:r w:rsidR="00A80767" w:rsidRPr="00AA2AEA">
        <w:rPr>
          <w:b/>
          <w:sz w:val="24"/>
          <w:szCs w:val="24"/>
        </w:rPr>
        <w:t>İLER VE</w:t>
      </w:r>
      <w:r w:rsidR="00210805" w:rsidRPr="00AA2AEA">
        <w:rPr>
          <w:b/>
          <w:sz w:val="24"/>
          <w:szCs w:val="24"/>
        </w:rPr>
        <w:t xml:space="preserve"> </w:t>
      </w:r>
      <w:r w:rsidRPr="00AA2AEA">
        <w:rPr>
          <w:b/>
          <w:sz w:val="24"/>
          <w:szCs w:val="24"/>
        </w:rPr>
        <w:t>HEDEFLER</w:t>
      </w:r>
    </w:p>
    <w:p w14:paraId="4856CB26" w14:textId="77777777" w:rsidR="00E76A2E" w:rsidRPr="00AA2AEA" w:rsidRDefault="00E76A2E" w:rsidP="00E76A2E">
      <w:pPr>
        <w:pStyle w:val="GvdeMetni"/>
        <w:spacing w:before="120" w:after="120" w:line="312" w:lineRule="auto"/>
        <w:ind w:right="-2"/>
        <w:jc w:val="both"/>
        <w:rPr>
          <w:b/>
          <w:sz w:val="24"/>
          <w:szCs w:val="24"/>
        </w:rPr>
      </w:pPr>
    </w:p>
    <w:p w14:paraId="44BC5E46" w14:textId="77777777" w:rsidR="00D379CD" w:rsidRPr="00AA2AEA" w:rsidRDefault="00E76A2E" w:rsidP="00E76A2E">
      <w:pPr>
        <w:pStyle w:val="GvdeMetni"/>
        <w:numPr>
          <w:ilvl w:val="0"/>
          <w:numId w:val="10"/>
        </w:numPr>
        <w:spacing w:before="120" w:after="120" w:line="312" w:lineRule="auto"/>
        <w:ind w:right="-2"/>
        <w:jc w:val="both"/>
        <w:rPr>
          <w:b/>
          <w:sz w:val="24"/>
          <w:szCs w:val="24"/>
        </w:rPr>
      </w:pPr>
      <w:r w:rsidRPr="00AA2AEA">
        <w:rPr>
          <w:b/>
          <w:sz w:val="24"/>
          <w:szCs w:val="24"/>
        </w:rPr>
        <w:t>Bütçe Giderleri</w:t>
      </w:r>
    </w:p>
    <w:p w14:paraId="09798BBC" w14:textId="77777777" w:rsidR="00FE7C01" w:rsidRPr="00AA2AEA" w:rsidRDefault="00487807" w:rsidP="000172C6">
      <w:pPr>
        <w:pStyle w:val="GvdeMetni"/>
        <w:spacing w:before="120" w:after="120" w:line="312" w:lineRule="auto"/>
        <w:ind w:right="-2" w:firstLine="708"/>
        <w:jc w:val="both"/>
        <w:rPr>
          <w:sz w:val="24"/>
          <w:szCs w:val="24"/>
        </w:rPr>
      </w:pPr>
      <w:r w:rsidRPr="00AA2AEA">
        <w:rPr>
          <w:sz w:val="24"/>
          <w:szCs w:val="24"/>
        </w:rPr>
        <w:t>Kurulumuz 2016</w:t>
      </w:r>
      <w:r w:rsidR="00853CCC" w:rsidRPr="00AA2AEA">
        <w:rPr>
          <w:sz w:val="24"/>
          <w:szCs w:val="24"/>
        </w:rPr>
        <w:t xml:space="preserve"> </w:t>
      </w:r>
      <w:r w:rsidR="003D4B2D" w:rsidRPr="00AA2AEA">
        <w:rPr>
          <w:sz w:val="24"/>
          <w:szCs w:val="24"/>
        </w:rPr>
        <w:t xml:space="preserve">Mali yılı Temmuz-Aralık döneminde de, yukarıda açıklanan sebepler göz önünde bulundurulduğunda, </w:t>
      </w:r>
      <w:r w:rsidR="00AB4A6A">
        <w:rPr>
          <w:sz w:val="24"/>
          <w:szCs w:val="24"/>
        </w:rPr>
        <w:t xml:space="preserve">rapor ekinde yer alan EK 1 </w:t>
      </w:r>
      <w:r w:rsidRPr="00AA2AEA">
        <w:rPr>
          <w:sz w:val="24"/>
          <w:szCs w:val="24"/>
        </w:rPr>
        <w:t>ve EK 2 no</w:t>
      </w:r>
      <w:r w:rsidR="003D4B2D" w:rsidRPr="00AA2AEA">
        <w:rPr>
          <w:sz w:val="24"/>
          <w:szCs w:val="24"/>
        </w:rPr>
        <w:t>lu tablolarda gösterilen ilk altı aylık gelir ve gider gelişimlerinin büyük bir farklılık göstermey</w:t>
      </w:r>
      <w:r w:rsidR="005541B6" w:rsidRPr="00AA2AEA">
        <w:rPr>
          <w:sz w:val="24"/>
          <w:szCs w:val="24"/>
        </w:rPr>
        <w:t xml:space="preserve">eceği tahmin edilmektedir. </w:t>
      </w:r>
    </w:p>
    <w:p w14:paraId="16F258C8" w14:textId="77777777" w:rsidR="00487807" w:rsidRPr="00AA2AEA" w:rsidRDefault="00853CCC" w:rsidP="001A3E36">
      <w:pPr>
        <w:pStyle w:val="GvdeMetni"/>
        <w:spacing w:before="120" w:after="120" w:line="312" w:lineRule="auto"/>
        <w:ind w:right="-2" w:firstLine="708"/>
        <w:jc w:val="both"/>
        <w:rPr>
          <w:sz w:val="24"/>
          <w:szCs w:val="24"/>
        </w:rPr>
      </w:pPr>
      <w:r w:rsidRPr="00AA2AEA">
        <w:rPr>
          <w:sz w:val="24"/>
          <w:szCs w:val="24"/>
        </w:rPr>
        <w:t>2</w:t>
      </w:r>
      <w:r w:rsidR="00487807" w:rsidRPr="00AA2AEA">
        <w:rPr>
          <w:sz w:val="24"/>
          <w:szCs w:val="24"/>
        </w:rPr>
        <w:t>547 sayılı Yükseköğretim Kanunu</w:t>
      </w:r>
      <w:r w:rsidRPr="00AA2AEA">
        <w:rPr>
          <w:sz w:val="24"/>
          <w:szCs w:val="24"/>
        </w:rPr>
        <w:t>na 18.06.2008 t</w:t>
      </w:r>
      <w:r w:rsidR="00591DC8" w:rsidRPr="00AA2AEA">
        <w:rPr>
          <w:sz w:val="24"/>
          <w:szCs w:val="24"/>
        </w:rPr>
        <w:t>arihli ve 5772 sayılı Kanun ile</w:t>
      </w:r>
      <w:r w:rsidRPr="00AA2AEA">
        <w:rPr>
          <w:sz w:val="24"/>
          <w:szCs w:val="24"/>
        </w:rPr>
        <w:t xml:space="preserve"> eklenen 10 uncu maddesinin son fıkrasında yer alan hükü</w:t>
      </w:r>
      <w:r w:rsidR="00487807" w:rsidRPr="00AA2AEA">
        <w:rPr>
          <w:sz w:val="24"/>
          <w:szCs w:val="24"/>
        </w:rPr>
        <w:t xml:space="preserve">m gereğince, Kurulumuz bütçesinden Farabi Değişim Programı, Mevlana değişim Programı ve Öğretim Üyesi Yetiştirme Programı için transfer tertibinden kaynak aktarımı yapılacaktır. </w:t>
      </w:r>
    </w:p>
    <w:p w14:paraId="6A44ADF2" w14:textId="77777777" w:rsidR="00487807" w:rsidRPr="00AA2AEA" w:rsidRDefault="00487807" w:rsidP="001A3E36">
      <w:pPr>
        <w:pStyle w:val="GvdeMetni"/>
        <w:spacing w:before="120" w:after="120" w:line="312" w:lineRule="auto"/>
        <w:ind w:right="-2" w:firstLine="708"/>
        <w:jc w:val="both"/>
        <w:rPr>
          <w:sz w:val="24"/>
          <w:szCs w:val="24"/>
        </w:rPr>
      </w:pPr>
      <w:r w:rsidRPr="00AA2AEA">
        <w:rPr>
          <w:sz w:val="24"/>
          <w:szCs w:val="24"/>
        </w:rPr>
        <w:t>Diğer taraftan Kurulumuz ana hizmet faaliyetlerini yerine getirirken beşeri ve zorunlu ihtiyaçların karşılanmasına yönelik olarak mal ve hizmet alımları ile yapım işlerine devam edecektir.</w:t>
      </w:r>
    </w:p>
    <w:p w14:paraId="67D20D14" w14:textId="77777777" w:rsidR="00853CCC" w:rsidRPr="00AA2AEA" w:rsidRDefault="00487807" w:rsidP="001A3E36">
      <w:pPr>
        <w:pStyle w:val="GvdeMetni"/>
        <w:spacing w:before="120" w:after="120" w:line="312" w:lineRule="auto"/>
        <w:ind w:right="-2" w:firstLine="708"/>
        <w:jc w:val="both"/>
        <w:rPr>
          <w:sz w:val="24"/>
          <w:szCs w:val="24"/>
        </w:rPr>
      </w:pPr>
      <w:r w:rsidRPr="00AA2AEA">
        <w:rPr>
          <w:sz w:val="24"/>
          <w:szCs w:val="24"/>
        </w:rPr>
        <w:t>Kurulumuz tarafından merkezi istatistik veri tabanının kurulması, web tabanlı yabancı dil projesi gibi bilişim projelerinin yürütü</w:t>
      </w:r>
      <w:r w:rsidR="00E479E6" w:rsidRPr="00AA2AEA">
        <w:rPr>
          <w:sz w:val="24"/>
          <w:szCs w:val="24"/>
        </w:rPr>
        <w:t>lmesi ile öğrenci ve öğretim ele</w:t>
      </w:r>
      <w:r w:rsidRPr="00AA2AEA">
        <w:rPr>
          <w:sz w:val="24"/>
          <w:szCs w:val="24"/>
        </w:rPr>
        <w:t>manı veri tabanlarının ve bilişim üst yapısının (YÖKSİS) kapasitesinin güçlendirilmesine yönelik giderlerin karşılanmasına bu dönemde de devam edilecektir.</w:t>
      </w:r>
      <w:r w:rsidR="00853CCC" w:rsidRPr="00AA2AEA">
        <w:rPr>
          <w:sz w:val="24"/>
          <w:szCs w:val="24"/>
        </w:rPr>
        <w:t xml:space="preserve"> </w:t>
      </w:r>
    </w:p>
    <w:p w14:paraId="004CB540" w14:textId="77777777" w:rsidR="000E45E2" w:rsidRPr="00AA2AEA" w:rsidRDefault="000E45E2" w:rsidP="001A3E36">
      <w:pPr>
        <w:pStyle w:val="GvdeMetni"/>
        <w:spacing w:before="120" w:after="120" w:line="312" w:lineRule="auto"/>
        <w:ind w:right="-2" w:firstLine="708"/>
        <w:jc w:val="both"/>
        <w:rPr>
          <w:sz w:val="24"/>
          <w:szCs w:val="24"/>
        </w:rPr>
      </w:pPr>
    </w:p>
    <w:p w14:paraId="19D20AD4" w14:textId="77777777" w:rsidR="000E45E2" w:rsidRPr="00AA2AEA" w:rsidRDefault="000E45E2" w:rsidP="000E45E2">
      <w:pPr>
        <w:pStyle w:val="GvdeMetni"/>
        <w:numPr>
          <w:ilvl w:val="0"/>
          <w:numId w:val="10"/>
        </w:numPr>
        <w:spacing w:before="120" w:after="120" w:line="312" w:lineRule="auto"/>
        <w:ind w:right="-2"/>
        <w:jc w:val="both"/>
        <w:rPr>
          <w:b/>
          <w:sz w:val="24"/>
          <w:szCs w:val="24"/>
        </w:rPr>
      </w:pPr>
      <w:r w:rsidRPr="00AA2AEA">
        <w:rPr>
          <w:b/>
          <w:sz w:val="24"/>
          <w:szCs w:val="24"/>
        </w:rPr>
        <w:t>Bütçe Gelirleri</w:t>
      </w:r>
    </w:p>
    <w:p w14:paraId="29F631CC" w14:textId="77777777" w:rsidR="000E45E2" w:rsidRPr="00AA2AEA" w:rsidRDefault="000E45E2" w:rsidP="000E45E2">
      <w:pPr>
        <w:pStyle w:val="GvdeMetni"/>
        <w:spacing w:before="120" w:after="120" w:line="312" w:lineRule="auto"/>
        <w:ind w:right="-2" w:firstLine="708"/>
        <w:jc w:val="both"/>
        <w:rPr>
          <w:sz w:val="24"/>
          <w:szCs w:val="24"/>
        </w:rPr>
      </w:pPr>
      <w:r w:rsidRPr="00AA2AEA">
        <w:rPr>
          <w:sz w:val="24"/>
          <w:szCs w:val="24"/>
        </w:rPr>
        <w:t>2016 Mali yılı Temmuz-Aralık dönemi itibarı ile Merkezi Yönetim Bütçe Kanunu ile t</w:t>
      </w:r>
      <w:r w:rsidR="00AB4A6A">
        <w:rPr>
          <w:sz w:val="24"/>
          <w:szCs w:val="24"/>
        </w:rPr>
        <w:t xml:space="preserve">ahsis edilmesi beklenen  toplam 46.038.000.-TL </w:t>
      </w:r>
      <w:r w:rsidRPr="00AA2AEA">
        <w:rPr>
          <w:sz w:val="24"/>
          <w:szCs w:val="24"/>
        </w:rPr>
        <w:t>hazine yardımı geliri gerçekleşmesi hedeflenmektedir.</w:t>
      </w:r>
    </w:p>
    <w:p w14:paraId="64E12B97" w14:textId="77777777" w:rsidR="000E45E2" w:rsidRPr="00AA2AEA" w:rsidRDefault="000E45E2" w:rsidP="000E45E2">
      <w:pPr>
        <w:pStyle w:val="GvdeMetni"/>
        <w:spacing w:before="120" w:after="120" w:line="312" w:lineRule="auto"/>
        <w:ind w:right="-2" w:firstLine="708"/>
        <w:jc w:val="both"/>
        <w:rPr>
          <w:sz w:val="24"/>
          <w:szCs w:val="24"/>
        </w:rPr>
      </w:pPr>
    </w:p>
    <w:p w14:paraId="2D523306" w14:textId="77777777" w:rsidR="000E45E2" w:rsidRPr="00AA2AEA" w:rsidRDefault="000E45E2" w:rsidP="000E45E2">
      <w:pPr>
        <w:pStyle w:val="GvdeMetni"/>
        <w:numPr>
          <w:ilvl w:val="0"/>
          <w:numId w:val="10"/>
        </w:numPr>
        <w:spacing w:before="120" w:after="120" w:line="312" w:lineRule="auto"/>
        <w:ind w:right="-2"/>
        <w:jc w:val="both"/>
        <w:rPr>
          <w:b/>
          <w:sz w:val="24"/>
          <w:szCs w:val="24"/>
        </w:rPr>
      </w:pPr>
      <w:r w:rsidRPr="00AA2AEA">
        <w:rPr>
          <w:b/>
          <w:sz w:val="24"/>
          <w:szCs w:val="24"/>
        </w:rPr>
        <w:t>Finansman</w:t>
      </w:r>
    </w:p>
    <w:p w14:paraId="457C27A0" w14:textId="77777777" w:rsidR="000E45E2" w:rsidRPr="00AA2AEA" w:rsidRDefault="000E45E2" w:rsidP="00AB4A6A">
      <w:pPr>
        <w:pStyle w:val="GvdeMetni"/>
        <w:spacing w:before="120" w:after="120" w:line="312" w:lineRule="auto"/>
        <w:ind w:right="-2" w:firstLine="708"/>
        <w:jc w:val="both"/>
        <w:rPr>
          <w:sz w:val="24"/>
          <w:szCs w:val="24"/>
        </w:rPr>
      </w:pPr>
      <w:r w:rsidRPr="00AA2AEA">
        <w:rPr>
          <w:sz w:val="24"/>
          <w:szCs w:val="24"/>
        </w:rPr>
        <w:t>2016 yılı ikinci altı aylık döneminde Kurulumuz bütçe giderleri</w:t>
      </w:r>
      <w:r w:rsidR="00AB4A6A">
        <w:rPr>
          <w:sz w:val="24"/>
          <w:szCs w:val="24"/>
        </w:rPr>
        <w:t xml:space="preserve">nin tamamına yakını </w:t>
      </w:r>
      <w:r w:rsidRPr="00AA2AEA">
        <w:rPr>
          <w:sz w:val="24"/>
          <w:szCs w:val="24"/>
        </w:rPr>
        <w:t>Merkezi Yönetim Bütçesinden alınan ödeneklerden karşılanacaktır. Ayrıca aynı dönemde Kurulumuza ait giderlerimizi finanse etmek amacıyla banka mevcutlarımızda vadeli hesaplarda bulunan nakit miktarları ile mevduata işletilen faiz kullanılacaktır.</w:t>
      </w:r>
    </w:p>
    <w:p w14:paraId="4708F2AD" w14:textId="77777777" w:rsidR="00F83E9D" w:rsidRPr="00AA2AEA" w:rsidRDefault="00F83E9D" w:rsidP="00F83E9D">
      <w:pPr>
        <w:pStyle w:val="GvdeMetni"/>
        <w:spacing w:before="120" w:after="120" w:line="312" w:lineRule="auto"/>
        <w:ind w:right="-2"/>
        <w:jc w:val="both"/>
        <w:rPr>
          <w:sz w:val="24"/>
          <w:szCs w:val="24"/>
        </w:rPr>
      </w:pPr>
    </w:p>
    <w:p w14:paraId="3D52B09D" w14:textId="77777777" w:rsidR="00F83E9D" w:rsidRPr="00AA2AEA" w:rsidRDefault="000E45E2" w:rsidP="00F83E9D">
      <w:pPr>
        <w:pStyle w:val="GvdeMetni"/>
        <w:numPr>
          <w:ilvl w:val="0"/>
          <w:numId w:val="5"/>
        </w:numPr>
        <w:spacing w:before="120" w:after="120" w:line="312" w:lineRule="auto"/>
        <w:ind w:right="-2" w:hanging="295"/>
        <w:jc w:val="both"/>
        <w:rPr>
          <w:b/>
          <w:sz w:val="24"/>
          <w:szCs w:val="24"/>
        </w:rPr>
      </w:pPr>
      <w:r w:rsidRPr="00AA2AEA">
        <w:rPr>
          <w:b/>
          <w:sz w:val="24"/>
          <w:szCs w:val="24"/>
        </w:rPr>
        <w:t>TEMMUZ-ARALIK 2016</w:t>
      </w:r>
      <w:r w:rsidR="00F83E9D" w:rsidRPr="00AA2AEA">
        <w:rPr>
          <w:b/>
          <w:sz w:val="24"/>
          <w:szCs w:val="24"/>
        </w:rPr>
        <w:t xml:space="preserve"> DÖNEMİNDE YÜRÜTÜLECEK FAALİYETLER</w:t>
      </w:r>
    </w:p>
    <w:p w14:paraId="284E41BE" w14:textId="77777777" w:rsidR="00F83E9D" w:rsidRPr="00AA2AEA" w:rsidRDefault="00F83E9D" w:rsidP="00F83E9D">
      <w:pPr>
        <w:pStyle w:val="GvdeMetni"/>
        <w:spacing w:before="120" w:after="120" w:line="312" w:lineRule="auto"/>
        <w:ind w:right="-2"/>
        <w:jc w:val="both"/>
        <w:rPr>
          <w:sz w:val="24"/>
          <w:szCs w:val="24"/>
        </w:rPr>
      </w:pPr>
    </w:p>
    <w:p w14:paraId="5D3CCD2B" w14:textId="77777777"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 xml:space="preserve">Bu döneme ilişkin olarak, Yükseköğretim Kurulu hizmetlerinin istenilen düzeyde ve kalitede sunulabilmesi amacıyla tahsis edilen kaynakların, bütçe ve gider mevzuatına uygun olarak etkili, ekonomik ve verimli bir şekilde kullanılmasına devam edilecektir. </w:t>
      </w:r>
    </w:p>
    <w:p w14:paraId="0097DED7" w14:textId="77777777" w:rsidR="00853CCC" w:rsidRPr="00AA2AEA" w:rsidRDefault="00853CCC" w:rsidP="00D379CD">
      <w:pPr>
        <w:pStyle w:val="GvdeMetni"/>
        <w:spacing w:before="120" w:after="120" w:line="312" w:lineRule="auto"/>
        <w:ind w:right="-2" w:firstLine="708"/>
        <w:jc w:val="both"/>
        <w:rPr>
          <w:sz w:val="24"/>
          <w:szCs w:val="24"/>
        </w:rPr>
      </w:pPr>
    </w:p>
    <w:p w14:paraId="5D4C8704" w14:textId="77777777"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Ayrıca;</w:t>
      </w:r>
    </w:p>
    <w:p w14:paraId="5BE48509" w14:textId="77777777"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 Kaliteli eğitim-öğretim sunan,</w:t>
      </w:r>
    </w:p>
    <w:p w14:paraId="68D094BE" w14:textId="77777777"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 Bilimsel araştırma yapan,</w:t>
      </w:r>
    </w:p>
    <w:p w14:paraId="24E71B23" w14:textId="77777777"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t xml:space="preserve">- Teknolojik ve bilimsel gelişmelerin öncülüğünü yapan, </w:t>
      </w:r>
    </w:p>
    <w:p w14:paraId="5108C696" w14:textId="77777777" w:rsidR="00853CCC" w:rsidRPr="00AA2AEA" w:rsidRDefault="00853CCC" w:rsidP="005F4FA8">
      <w:pPr>
        <w:pStyle w:val="GvdeMetni"/>
        <w:spacing w:before="120" w:after="120" w:line="312" w:lineRule="auto"/>
        <w:ind w:right="-2" w:firstLine="708"/>
        <w:jc w:val="both"/>
        <w:rPr>
          <w:sz w:val="24"/>
          <w:szCs w:val="24"/>
        </w:rPr>
      </w:pPr>
      <w:r w:rsidRPr="00AA2AEA">
        <w:rPr>
          <w:sz w:val="24"/>
          <w:szCs w:val="24"/>
        </w:rPr>
        <w:t xml:space="preserve">- Toplumun ekonomik ve kültürel kalkınmasına katkıda bulunan, </w:t>
      </w:r>
    </w:p>
    <w:p w14:paraId="58B73D29" w14:textId="77777777" w:rsidR="00D379CD" w:rsidRPr="00AA2AEA" w:rsidRDefault="00853CCC" w:rsidP="005F4FA8">
      <w:pPr>
        <w:pStyle w:val="GvdeMetni"/>
        <w:spacing w:before="120" w:after="120" w:line="312" w:lineRule="auto"/>
        <w:ind w:right="-2" w:firstLine="708"/>
        <w:jc w:val="both"/>
        <w:rPr>
          <w:sz w:val="24"/>
          <w:szCs w:val="24"/>
        </w:rPr>
      </w:pPr>
      <w:r w:rsidRPr="00AA2AEA">
        <w:rPr>
          <w:sz w:val="24"/>
          <w:szCs w:val="24"/>
        </w:rPr>
        <w:t>- Araştırma ve proje yürütücülüğü hizmet</w:t>
      </w:r>
      <w:r w:rsidR="00060EDC">
        <w:rPr>
          <w:sz w:val="24"/>
          <w:szCs w:val="24"/>
        </w:rPr>
        <w:t>lerini en iyi şekilde sunan</w:t>
      </w:r>
      <w:r w:rsidR="00D379CD" w:rsidRPr="00AA2AEA">
        <w:rPr>
          <w:sz w:val="24"/>
          <w:szCs w:val="24"/>
        </w:rPr>
        <w:t xml:space="preserve"> </w:t>
      </w:r>
      <w:r w:rsidRPr="00AA2AEA">
        <w:rPr>
          <w:sz w:val="24"/>
          <w:szCs w:val="24"/>
        </w:rPr>
        <w:t>bir yükseköğretim sistemi oluşturulması,</w:t>
      </w:r>
    </w:p>
    <w:p w14:paraId="08B2317A" w14:textId="77777777" w:rsidR="00853CCC" w:rsidRPr="00AA2AEA" w:rsidRDefault="005F4FA8" w:rsidP="00D379CD">
      <w:pPr>
        <w:pStyle w:val="GvdeMetni"/>
        <w:spacing w:before="120" w:after="120" w:line="312" w:lineRule="auto"/>
        <w:ind w:right="-2" w:firstLine="708"/>
        <w:jc w:val="both"/>
        <w:rPr>
          <w:sz w:val="24"/>
          <w:szCs w:val="24"/>
        </w:rPr>
      </w:pPr>
      <w:r w:rsidRPr="00AA2AEA">
        <w:rPr>
          <w:sz w:val="24"/>
          <w:szCs w:val="24"/>
        </w:rPr>
        <w:t xml:space="preserve"> -Y</w:t>
      </w:r>
      <w:r w:rsidR="00853CCC" w:rsidRPr="00AA2AEA">
        <w:rPr>
          <w:sz w:val="24"/>
          <w:szCs w:val="24"/>
        </w:rPr>
        <w:t>ükseköğretim kurumlarında öğretim elemanı açığının giderilmesi ve üniversitelerin eğitim-öğretim bilimsel araştırma ve yayın faaliyetlerinin koordine edilmesi hedeflerimiz arasında yer almaktadır.</w:t>
      </w:r>
    </w:p>
    <w:p w14:paraId="3720D828" w14:textId="77777777" w:rsidR="00853CCC" w:rsidRPr="00AA2AEA" w:rsidRDefault="00D379CD" w:rsidP="00D379CD">
      <w:pPr>
        <w:pStyle w:val="GvdeMetni"/>
        <w:spacing w:before="120" w:after="120" w:line="312" w:lineRule="auto"/>
        <w:ind w:right="-2" w:firstLine="708"/>
        <w:jc w:val="both"/>
        <w:rPr>
          <w:sz w:val="24"/>
          <w:szCs w:val="24"/>
        </w:rPr>
      </w:pPr>
      <w:r w:rsidRPr="00AA2AEA">
        <w:rPr>
          <w:sz w:val="24"/>
          <w:szCs w:val="24"/>
        </w:rPr>
        <w:t xml:space="preserve">   </w:t>
      </w:r>
      <w:r w:rsidR="00853CCC" w:rsidRPr="00AA2AEA">
        <w:rPr>
          <w:sz w:val="24"/>
          <w:szCs w:val="24"/>
        </w:rPr>
        <w:t>Kamuoyunun bilgisine sunulur.</w:t>
      </w:r>
      <w:r w:rsidR="00853CCC" w:rsidRPr="00AA2AEA">
        <w:rPr>
          <w:sz w:val="24"/>
          <w:szCs w:val="24"/>
        </w:rPr>
        <w:tab/>
      </w:r>
      <w:r w:rsidR="00853CCC" w:rsidRPr="00AA2AEA">
        <w:rPr>
          <w:sz w:val="24"/>
          <w:szCs w:val="24"/>
        </w:rPr>
        <w:tab/>
      </w:r>
    </w:p>
    <w:p w14:paraId="02115146" w14:textId="77777777" w:rsidR="00853CCC" w:rsidRPr="00AA2AEA" w:rsidRDefault="00853CCC" w:rsidP="00F83E9D">
      <w:pPr>
        <w:pStyle w:val="GvdeMetni"/>
        <w:spacing w:before="120" w:after="120" w:line="312" w:lineRule="auto"/>
        <w:ind w:right="-2" w:firstLine="708"/>
        <w:jc w:val="both"/>
        <w:rPr>
          <w:sz w:val="24"/>
          <w:szCs w:val="24"/>
        </w:rPr>
      </w:pP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r w:rsidRPr="00AA2AEA">
        <w:rPr>
          <w:sz w:val="24"/>
          <w:szCs w:val="24"/>
        </w:rPr>
        <w:tab/>
      </w:r>
    </w:p>
    <w:p w14:paraId="6D679CA1" w14:textId="77777777" w:rsidR="00853CCC" w:rsidRPr="00AA2AEA" w:rsidRDefault="00853CCC" w:rsidP="00D379CD">
      <w:pPr>
        <w:pStyle w:val="GvdeMetni"/>
        <w:spacing w:before="120" w:after="120" w:line="312" w:lineRule="auto"/>
        <w:ind w:right="-2" w:firstLine="708"/>
        <w:jc w:val="both"/>
        <w:rPr>
          <w:sz w:val="24"/>
          <w:szCs w:val="24"/>
        </w:rPr>
      </w:pPr>
    </w:p>
    <w:p w14:paraId="3AF0C128" w14:textId="77777777" w:rsidR="00853CCC" w:rsidRPr="00AA2AEA" w:rsidRDefault="00853CCC" w:rsidP="00D379CD">
      <w:pPr>
        <w:pStyle w:val="GvdeMetni"/>
        <w:spacing w:before="120" w:after="120" w:line="312" w:lineRule="auto"/>
        <w:ind w:right="-2" w:firstLine="708"/>
        <w:jc w:val="both"/>
        <w:rPr>
          <w:sz w:val="24"/>
          <w:szCs w:val="24"/>
        </w:rPr>
      </w:pPr>
      <w:r w:rsidRPr="00AA2AEA">
        <w:rPr>
          <w:sz w:val="24"/>
          <w:szCs w:val="24"/>
        </w:rPr>
        <w:lastRenderedPageBreak/>
        <w:t xml:space="preserve">EK: 1-Bütçe Giderlerinin Gelişimi Tablosu </w:t>
      </w:r>
    </w:p>
    <w:p w14:paraId="412EDEE4" w14:textId="77777777" w:rsidR="00853CCC" w:rsidRPr="00AA2AEA" w:rsidRDefault="00787525" w:rsidP="00D379CD">
      <w:pPr>
        <w:pStyle w:val="GvdeMetni"/>
        <w:spacing w:before="120" w:after="120" w:line="312" w:lineRule="auto"/>
        <w:ind w:right="-2" w:firstLine="708"/>
        <w:jc w:val="both"/>
        <w:rPr>
          <w:sz w:val="24"/>
          <w:szCs w:val="24"/>
        </w:rPr>
      </w:pPr>
      <w:r w:rsidRPr="00AA2AEA">
        <w:rPr>
          <w:sz w:val="24"/>
          <w:szCs w:val="24"/>
        </w:rPr>
        <w:t xml:space="preserve">       </w:t>
      </w:r>
      <w:r w:rsidR="00591DC8" w:rsidRPr="00AA2AEA">
        <w:rPr>
          <w:sz w:val="24"/>
          <w:szCs w:val="24"/>
        </w:rPr>
        <w:t xml:space="preserve">2-Bütçe </w:t>
      </w:r>
      <w:r w:rsidR="00853CCC" w:rsidRPr="00AA2AEA">
        <w:rPr>
          <w:sz w:val="24"/>
          <w:szCs w:val="24"/>
        </w:rPr>
        <w:t>Gelirlerinin Gelişimi Tablosu</w:t>
      </w:r>
    </w:p>
    <w:p w14:paraId="3E29B5FB" w14:textId="77777777" w:rsidR="00853CCC" w:rsidRPr="00AA2AEA" w:rsidRDefault="00853CCC" w:rsidP="00D379CD">
      <w:pPr>
        <w:pStyle w:val="GvdeMetni"/>
        <w:spacing w:before="120" w:after="120" w:line="312" w:lineRule="auto"/>
        <w:ind w:right="-2" w:firstLine="708"/>
        <w:jc w:val="both"/>
        <w:rPr>
          <w:sz w:val="24"/>
          <w:szCs w:val="24"/>
        </w:rPr>
      </w:pPr>
    </w:p>
    <w:sectPr w:rsidR="00853CCC" w:rsidRPr="00AA2AEA" w:rsidSect="00D379CD">
      <w:footerReference w:type="even" r:id="rId11"/>
      <w:footerReference w:type="default" r:id="rId1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7A04" w14:textId="77777777" w:rsidR="00354A93" w:rsidRDefault="00354A93">
      <w:r>
        <w:separator/>
      </w:r>
    </w:p>
  </w:endnote>
  <w:endnote w:type="continuationSeparator" w:id="0">
    <w:p w14:paraId="0E3B0CAB" w14:textId="77777777" w:rsidR="00354A93" w:rsidRDefault="0035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CDF5" w14:textId="77777777" w:rsidR="006F7635" w:rsidRDefault="006F7635" w:rsidP="005057F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A8C1BE7" w14:textId="77777777" w:rsidR="006F7635" w:rsidRDefault="006F7635" w:rsidP="006F763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6F1D" w14:textId="77777777" w:rsidR="006F7635" w:rsidRDefault="006F7635" w:rsidP="005057F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76090">
      <w:rPr>
        <w:rStyle w:val="SayfaNumaras"/>
        <w:noProof/>
      </w:rPr>
      <w:t>5</w:t>
    </w:r>
    <w:r>
      <w:rPr>
        <w:rStyle w:val="SayfaNumaras"/>
      </w:rPr>
      <w:fldChar w:fldCharType="end"/>
    </w:r>
  </w:p>
  <w:p w14:paraId="1A79ADB0" w14:textId="77777777" w:rsidR="006F7635" w:rsidRDefault="006F7635" w:rsidP="006F763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16079" w14:textId="77777777" w:rsidR="00354A93" w:rsidRDefault="00354A93">
      <w:r>
        <w:separator/>
      </w:r>
    </w:p>
  </w:footnote>
  <w:footnote w:type="continuationSeparator" w:id="0">
    <w:p w14:paraId="0D30BACE" w14:textId="77777777" w:rsidR="00354A93" w:rsidRDefault="00354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D6B"/>
    <w:multiLevelType w:val="hybridMultilevel"/>
    <w:tmpl w:val="A8DA51CE"/>
    <w:lvl w:ilvl="0" w:tplc="ADA0673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15:restartNumberingAfterBreak="0">
    <w:nsid w:val="08F847F7"/>
    <w:multiLevelType w:val="hybridMultilevel"/>
    <w:tmpl w:val="5F70D2EE"/>
    <w:lvl w:ilvl="0" w:tplc="03646E6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2E332AF"/>
    <w:multiLevelType w:val="hybridMultilevel"/>
    <w:tmpl w:val="C7A6AB6A"/>
    <w:lvl w:ilvl="0" w:tplc="00CE2FC4">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1421601F"/>
    <w:multiLevelType w:val="hybridMultilevel"/>
    <w:tmpl w:val="D9681A2A"/>
    <w:lvl w:ilvl="0" w:tplc="E8A46B3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EBD453A"/>
    <w:multiLevelType w:val="hybridMultilevel"/>
    <w:tmpl w:val="7F30F4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0238D0"/>
    <w:multiLevelType w:val="hybridMultilevel"/>
    <w:tmpl w:val="A83C8F16"/>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6" w15:restartNumberingAfterBreak="0">
    <w:nsid w:val="49CB3F5D"/>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4CAA4816"/>
    <w:multiLevelType w:val="hybridMultilevel"/>
    <w:tmpl w:val="9128543C"/>
    <w:lvl w:ilvl="0" w:tplc="7042F020">
      <w:start w:val="3"/>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56874109"/>
    <w:multiLevelType w:val="hybridMultilevel"/>
    <w:tmpl w:val="456210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4A170F"/>
    <w:multiLevelType w:val="hybridMultilevel"/>
    <w:tmpl w:val="4F6EC53A"/>
    <w:lvl w:ilvl="0" w:tplc="65422DDA">
      <w:start w:val="2"/>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abstractNumId w:val="2"/>
  </w:num>
  <w:num w:numId="2">
    <w:abstractNumId w:val="0"/>
  </w:num>
  <w:num w:numId="3">
    <w:abstractNumId w:val="9"/>
  </w:num>
  <w:num w:numId="4">
    <w:abstractNumId w:val="6"/>
  </w:num>
  <w:num w:numId="5">
    <w:abstractNumId w:val="7"/>
  </w:num>
  <w:num w:numId="6">
    <w:abstractNumId w:val="4"/>
  </w:num>
  <w:num w:numId="7">
    <w:abstractNumId w:val="8"/>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F0"/>
    <w:rsid w:val="00012D3A"/>
    <w:rsid w:val="000172C6"/>
    <w:rsid w:val="00041BC4"/>
    <w:rsid w:val="0005656D"/>
    <w:rsid w:val="000600AB"/>
    <w:rsid w:val="00060EDC"/>
    <w:rsid w:val="00063E43"/>
    <w:rsid w:val="00064168"/>
    <w:rsid w:val="00065889"/>
    <w:rsid w:val="00076B72"/>
    <w:rsid w:val="000B21E9"/>
    <w:rsid w:val="000D45E9"/>
    <w:rsid w:val="000D5776"/>
    <w:rsid w:val="000D6387"/>
    <w:rsid w:val="000E45E2"/>
    <w:rsid w:val="000E78A3"/>
    <w:rsid w:val="00106157"/>
    <w:rsid w:val="00135A46"/>
    <w:rsid w:val="001509CE"/>
    <w:rsid w:val="00154644"/>
    <w:rsid w:val="00160D63"/>
    <w:rsid w:val="001666E4"/>
    <w:rsid w:val="00180120"/>
    <w:rsid w:val="00185C44"/>
    <w:rsid w:val="00195211"/>
    <w:rsid w:val="001A1AD2"/>
    <w:rsid w:val="001A3E36"/>
    <w:rsid w:val="001B06F4"/>
    <w:rsid w:val="001B1A00"/>
    <w:rsid w:val="001C5CE9"/>
    <w:rsid w:val="001D5BBE"/>
    <w:rsid w:val="00210805"/>
    <w:rsid w:val="002138A2"/>
    <w:rsid w:val="00233FB4"/>
    <w:rsid w:val="00236200"/>
    <w:rsid w:val="00254147"/>
    <w:rsid w:val="0025764F"/>
    <w:rsid w:val="002577A5"/>
    <w:rsid w:val="002707EE"/>
    <w:rsid w:val="002713DD"/>
    <w:rsid w:val="00271604"/>
    <w:rsid w:val="00275F39"/>
    <w:rsid w:val="00276566"/>
    <w:rsid w:val="002A0D15"/>
    <w:rsid w:val="002C38CE"/>
    <w:rsid w:val="002D0AE4"/>
    <w:rsid w:val="002E48D2"/>
    <w:rsid w:val="002E4ABE"/>
    <w:rsid w:val="002F1A73"/>
    <w:rsid w:val="00317F2C"/>
    <w:rsid w:val="003235D6"/>
    <w:rsid w:val="00325A6C"/>
    <w:rsid w:val="0033737C"/>
    <w:rsid w:val="003400B3"/>
    <w:rsid w:val="00344C16"/>
    <w:rsid w:val="00346A11"/>
    <w:rsid w:val="0035102C"/>
    <w:rsid w:val="00354A93"/>
    <w:rsid w:val="00355133"/>
    <w:rsid w:val="00360217"/>
    <w:rsid w:val="003608D8"/>
    <w:rsid w:val="00381D57"/>
    <w:rsid w:val="00384D9A"/>
    <w:rsid w:val="00387E91"/>
    <w:rsid w:val="003A2E0F"/>
    <w:rsid w:val="003A46A2"/>
    <w:rsid w:val="003B0A6F"/>
    <w:rsid w:val="003C152F"/>
    <w:rsid w:val="003C4D55"/>
    <w:rsid w:val="003D11D4"/>
    <w:rsid w:val="003D4B2D"/>
    <w:rsid w:val="003D5374"/>
    <w:rsid w:val="003E3517"/>
    <w:rsid w:val="003E5898"/>
    <w:rsid w:val="003F3D68"/>
    <w:rsid w:val="003F533E"/>
    <w:rsid w:val="00410893"/>
    <w:rsid w:val="004368AE"/>
    <w:rsid w:val="00475F9E"/>
    <w:rsid w:val="00476090"/>
    <w:rsid w:val="0048342A"/>
    <w:rsid w:val="00487807"/>
    <w:rsid w:val="004A223D"/>
    <w:rsid w:val="004B1F4E"/>
    <w:rsid w:val="004C44FF"/>
    <w:rsid w:val="004C72E6"/>
    <w:rsid w:val="004D3BCF"/>
    <w:rsid w:val="004E1788"/>
    <w:rsid w:val="004F514B"/>
    <w:rsid w:val="005057F5"/>
    <w:rsid w:val="005130F9"/>
    <w:rsid w:val="005250D7"/>
    <w:rsid w:val="00546553"/>
    <w:rsid w:val="005541B6"/>
    <w:rsid w:val="00555EDD"/>
    <w:rsid w:val="00562D90"/>
    <w:rsid w:val="00564842"/>
    <w:rsid w:val="00585979"/>
    <w:rsid w:val="00591DC8"/>
    <w:rsid w:val="0059246A"/>
    <w:rsid w:val="005957A3"/>
    <w:rsid w:val="005C2395"/>
    <w:rsid w:val="005E5C82"/>
    <w:rsid w:val="005E7067"/>
    <w:rsid w:val="005F4FA8"/>
    <w:rsid w:val="0061249D"/>
    <w:rsid w:val="00625B8F"/>
    <w:rsid w:val="006309DA"/>
    <w:rsid w:val="00645CED"/>
    <w:rsid w:val="00656BC1"/>
    <w:rsid w:val="00656EE9"/>
    <w:rsid w:val="00674BE8"/>
    <w:rsid w:val="00687A65"/>
    <w:rsid w:val="006A143A"/>
    <w:rsid w:val="006A2FA3"/>
    <w:rsid w:val="006A3171"/>
    <w:rsid w:val="006B529A"/>
    <w:rsid w:val="006B771A"/>
    <w:rsid w:val="006D052E"/>
    <w:rsid w:val="006D069A"/>
    <w:rsid w:val="006D2E88"/>
    <w:rsid w:val="006D6D82"/>
    <w:rsid w:val="006F1927"/>
    <w:rsid w:val="006F3049"/>
    <w:rsid w:val="006F33A4"/>
    <w:rsid w:val="006F7635"/>
    <w:rsid w:val="006F7EB7"/>
    <w:rsid w:val="0071573D"/>
    <w:rsid w:val="00717568"/>
    <w:rsid w:val="00734C32"/>
    <w:rsid w:val="0075310B"/>
    <w:rsid w:val="00756C19"/>
    <w:rsid w:val="00760A80"/>
    <w:rsid w:val="00771231"/>
    <w:rsid w:val="007777B0"/>
    <w:rsid w:val="007802FB"/>
    <w:rsid w:val="00785CE2"/>
    <w:rsid w:val="00787525"/>
    <w:rsid w:val="00797C64"/>
    <w:rsid w:val="007B0E89"/>
    <w:rsid w:val="007C5CFC"/>
    <w:rsid w:val="007D7E89"/>
    <w:rsid w:val="007E51D1"/>
    <w:rsid w:val="007E6862"/>
    <w:rsid w:val="007F78F0"/>
    <w:rsid w:val="00801BFE"/>
    <w:rsid w:val="00823C01"/>
    <w:rsid w:val="00824BEF"/>
    <w:rsid w:val="0082646F"/>
    <w:rsid w:val="00850E3F"/>
    <w:rsid w:val="00852E24"/>
    <w:rsid w:val="00853CCC"/>
    <w:rsid w:val="00862EB7"/>
    <w:rsid w:val="0086342E"/>
    <w:rsid w:val="00867783"/>
    <w:rsid w:val="008740E9"/>
    <w:rsid w:val="00885C2B"/>
    <w:rsid w:val="0088762B"/>
    <w:rsid w:val="0089084D"/>
    <w:rsid w:val="00890DD1"/>
    <w:rsid w:val="008A1709"/>
    <w:rsid w:val="008B1D07"/>
    <w:rsid w:val="008B2511"/>
    <w:rsid w:val="008C1EA4"/>
    <w:rsid w:val="008C4248"/>
    <w:rsid w:val="008C7536"/>
    <w:rsid w:val="008C7F92"/>
    <w:rsid w:val="008D2DA4"/>
    <w:rsid w:val="008D3403"/>
    <w:rsid w:val="008E3CA8"/>
    <w:rsid w:val="00905A6E"/>
    <w:rsid w:val="00923C89"/>
    <w:rsid w:val="00925AEF"/>
    <w:rsid w:val="00931174"/>
    <w:rsid w:val="00934299"/>
    <w:rsid w:val="00950456"/>
    <w:rsid w:val="009509BA"/>
    <w:rsid w:val="009547FF"/>
    <w:rsid w:val="00961E9B"/>
    <w:rsid w:val="00964666"/>
    <w:rsid w:val="009757DC"/>
    <w:rsid w:val="00982544"/>
    <w:rsid w:val="00984C97"/>
    <w:rsid w:val="009A74F0"/>
    <w:rsid w:val="009B05E8"/>
    <w:rsid w:val="009B43B4"/>
    <w:rsid w:val="009B578F"/>
    <w:rsid w:val="009D000A"/>
    <w:rsid w:val="009D0021"/>
    <w:rsid w:val="009D5206"/>
    <w:rsid w:val="009E1D18"/>
    <w:rsid w:val="00A24E89"/>
    <w:rsid w:val="00A4013A"/>
    <w:rsid w:val="00A626FF"/>
    <w:rsid w:val="00A744AD"/>
    <w:rsid w:val="00A80767"/>
    <w:rsid w:val="00A816DF"/>
    <w:rsid w:val="00A842BE"/>
    <w:rsid w:val="00A86EDC"/>
    <w:rsid w:val="00AA2AEA"/>
    <w:rsid w:val="00AA335D"/>
    <w:rsid w:val="00AA417E"/>
    <w:rsid w:val="00AB4A6A"/>
    <w:rsid w:val="00AB5AEC"/>
    <w:rsid w:val="00AB7271"/>
    <w:rsid w:val="00AC2FA9"/>
    <w:rsid w:val="00AD758A"/>
    <w:rsid w:val="00AE6162"/>
    <w:rsid w:val="00B1279F"/>
    <w:rsid w:val="00B155B6"/>
    <w:rsid w:val="00B30F78"/>
    <w:rsid w:val="00B510EF"/>
    <w:rsid w:val="00B72CD9"/>
    <w:rsid w:val="00B80692"/>
    <w:rsid w:val="00B976DF"/>
    <w:rsid w:val="00BA4955"/>
    <w:rsid w:val="00BA5B2B"/>
    <w:rsid w:val="00BA632D"/>
    <w:rsid w:val="00C0052C"/>
    <w:rsid w:val="00C01602"/>
    <w:rsid w:val="00C05A15"/>
    <w:rsid w:val="00C3227F"/>
    <w:rsid w:val="00C35391"/>
    <w:rsid w:val="00C35982"/>
    <w:rsid w:val="00C422DF"/>
    <w:rsid w:val="00C510A7"/>
    <w:rsid w:val="00C6216C"/>
    <w:rsid w:val="00CA5906"/>
    <w:rsid w:val="00CA5EE3"/>
    <w:rsid w:val="00CC4FAD"/>
    <w:rsid w:val="00CC6CD2"/>
    <w:rsid w:val="00CD0BD9"/>
    <w:rsid w:val="00CD35EA"/>
    <w:rsid w:val="00CD3DCF"/>
    <w:rsid w:val="00CD5FB8"/>
    <w:rsid w:val="00CF6890"/>
    <w:rsid w:val="00D05025"/>
    <w:rsid w:val="00D170D2"/>
    <w:rsid w:val="00D379CD"/>
    <w:rsid w:val="00D605E6"/>
    <w:rsid w:val="00D60620"/>
    <w:rsid w:val="00D76098"/>
    <w:rsid w:val="00D866D4"/>
    <w:rsid w:val="00D87D75"/>
    <w:rsid w:val="00DC199C"/>
    <w:rsid w:val="00DF4FE2"/>
    <w:rsid w:val="00E22330"/>
    <w:rsid w:val="00E355DA"/>
    <w:rsid w:val="00E479E6"/>
    <w:rsid w:val="00E540DF"/>
    <w:rsid w:val="00E669A0"/>
    <w:rsid w:val="00E67545"/>
    <w:rsid w:val="00E70D64"/>
    <w:rsid w:val="00E76A2E"/>
    <w:rsid w:val="00E77CBF"/>
    <w:rsid w:val="00E822C1"/>
    <w:rsid w:val="00EC089C"/>
    <w:rsid w:val="00EC7411"/>
    <w:rsid w:val="00ED41D4"/>
    <w:rsid w:val="00EE0C53"/>
    <w:rsid w:val="00EF5436"/>
    <w:rsid w:val="00F0615B"/>
    <w:rsid w:val="00F06AF8"/>
    <w:rsid w:val="00F12CEA"/>
    <w:rsid w:val="00F150D3"/>
    <w:rsid w:val="00F151CC"/>
    <w:rsid w:val="00F16313"/>
    <w:rsid w:val="00F21CF6"/>
    <w:rsid w:val="00F37814"/>
    <w:rsid w:val="00F80379"/>
    <w:rsid w:val="00F83E9D"/>
    <w:rsid w:val="00F86A40"/>
    <w:rsid w:val="00F94FB5"/>
    <w:rsid w:val="00FA65B9"/>
    <w:rsid w:val="00FA6CD8"/>
    <w:rsid w:val="00FC117B"/>
    <w:rsid w:val="00FD157F"/>
    <w:rsid w:val="00FD4C3E"/>
    <w:rsid w:val="00FD5916"/>
    <w:rsid w:val="00FE7C01"/>
    <w:rsid w:val="00FF01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4BEDE"/>
  <w15:chartTrackingRefBased/>
  <w15:docId w15:val="{CBCCCFAF-8F7F-4590-9DC8-0B85C2BA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4F0"/>
    <w:rPr>
      <w:sz w:val="24"/>
      <w:szCs w:val="24"/>
    </w:rPr>
  </w:style>
  <w:style w:type="paragraph" w:styleId="Balk1">
    <w:name w:val="heading 1"/>
    <w:basedOn w:val="Normal"/>
    <w:next w:val="Normal"/>
    <w:qFormat/>
    <w:rsid w:val="00E6754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67545"/>
    <w:pPr>
      <w:keepNext/>
      <w:spacing w:before="240" w:after="60"/>
      <w:outlineLvl w:val="1"/>
    </w:pPr>
    <w:rPr>
      <w:rFonts w:ascii="Arial" w:hAnsi="Arial" w:cs="Arial"/>
      <w:b/>
      <w:bCs/>
      <w:i/>
      <w:iCs/>
      <w:sz w:val="28"/>
      <w:szCs w:val="28"/>
    </w:rPr>
  </w:style>
  <w:style w:type="character" w:default="1" w:styleId="VarsaylanParagrafYazTipi">
    <w:name w:val="Default Paragraph Font"/>
    <w:aliases w:val=" Char Char 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Char">
    <w:name w:val=" Char"/>
    <w:basedOn w:val="Normal"/>
    <w:rsid w:val="00C05A15"/>
    <w:pPr>
      <w:spacing w:after="160" w:line="240" w:lineRule="exact"/>
    </w:pPr>
    <w:rPr>
      <w:sz w:val="20"/>
      <w:szCs w:val="20"/>
      <w:lang w:val="de-DE" w:eastAsia="tr-TR"/>
    </w:rPr>
  </w:style>
  <w:style w:type="paragraph" w:customStyle="1" w:styleId="TitleCover">
    <w:name w:val="Title Cover"/>
    <w:basedOn w:val="Normal"/>
    <w:next w:val="Normal"/>
    <w:rsid w:val="00C05A15"/>
    <w:pPr>
      <w:keepNext/>
      <w:keepLines/>
      <w:spacing w:before="1800" w:line="240" w:lineRule="atLeast"/>
      <w:ind w:left="1080"/>
    </w:pPr>
    <w:rPr>
      <w:rFonts w:ascii="Arial" w:hAnsi="Arial"/>
      <w:b/>
      <w:spacing w:val="-48"/>
      <w:kern w:val="28"/>
      <w:sz w:val="72"/>
      <w:szCs w:val="20"/>
      <w:lang w:val="en-US" w:eastAsia="en-US"/>
    </w:rPr>
  </w:style>
  <w:style w:type="paragraph" w:customStyle="1" w:styleId="CompanyName">
    <w:name w:val="Company Name"/>
    <w:basedOn w:val="Normal"/>
    <w:rsid w:val="00C05A15"/>
    <w:pPr>
      <w:keepNext/>
      <w:keepLines/>
      <w:spacing w:line="220" w:lineRule="atLeast"/>
      <w:ind w:left="1080"/>
    </w:pPr>
    <w:rPr>
      <w:spacing w:val="-30"/>
      <w:kern w:val="28"/>
      <w:sz w:val="60"/>
      <w:szCs w:val="20"/>
      <w:lang w:val="en-US" w:eastAsia="en-US"/>
    </w:rPr>
  </w:style>
  <w:style w:type="paragraph" w:styleId="Altbilgi">
    <w:name w:val="Altbilgi"/>
    <w:basedOn w:val="Normal"/>
    <w:rsid w:val="006F7635"/>
    <w:pPr>
      <w:tabs>
        <w:tab w:val="center" w:pos="4536"/>
        <w:tab w:val="right" w:pos="9072"/>
      </w:tabs>
    </w:pPr>
  </w:style>
  <w:style w:type="character" w:styleId="SayfaNumaras">
    <w:name w:val="page number"/>
    <w:basedOn w:val="VarsaylanParagrafYazTipi"/>
    <w:rsid w:val="006F7635"/>
  </w:style>
  <w:style w:type="paragraph" w:styleId="GvdeMetni">
    <w:name w:val="Body Text"/>
    <w:basedOn w:val="Normal"/>
    <w:rsid w:val="00E67545"/>
    <w:rPr>
      <w:sz w:val="96"/>
      <w:szCs w:val="20"/>
    </w:rPr>
  </w:style>
  <w:style w:type="paragraph" w:customStyle="1" w:styleId="nor">
    <w:name w:val="nor"/>
    <w:basedOn w:val="Normal"/>
    <w:rsid w:val="005957A3"/>
    <w:pPr>
      <w:spacing w:before="100" w:beforeAutospacing="1" w:after="100" w:afterAutospacing="1"/>
    </w:pPr>
  </w:style>
  <w:style w:type="character" w:styleId="Gl">
    <w:name w:val="Strong"/>
    <w:qFormat/>
    <w:rsid w:val="00CD3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438433">
      <w:bodyDiv w:val="1"/>
      <w:marLeft w:val="0"/>
      <w:marRight w:val="0"/>
      <w:marTop w:val="0"/>
      <w:marBottom w:val="0"/>
      <w:divBdr>
        <w:top w:val="none" w:sz="0" w:space="0" w:color="auto"/>
        <w:left w:val="none" w:sz="0" w:space="0" w:color="auto"/>
        <w:bottom w:val="none" w:sz="0" w:space="0" w:color="auto"/>
        <w:right w:val="none" w:sz="0" w:space="0" w:color="auto"/>
      </w:divBdr>
      <w:divsChild>
        <w:div w:id="1162701776">
          <w:marLeft w:val="0"/>
          <w:marRight w:val="0"/>
          <w:marTop w:val="0"/>
          <w:marBottom w:val="0"/>
          <w:divBdr>
            <w:top w:val="none" w:sz="0" w:space="0" w:color="auto"/>
            <w:left w:val="none" w:sz="0" w:space="0" w:color="auto"/>
            <w:bottom w:val="none" w:sz="0" w:space="0" w:color="auto"/>
            <w:right w:val="none" w:sz="0" w:space="0" w:color="auto"/>
          </w:divBdr>
          <w:divsChild>
            <w:div w:id="698896378">
              <w:marLeft w:val="0"/>
              <w:marRight w:val="0"/>
              <w:marTop w:val="0"/>
              <w:marBottom w:val="0"/>
              <w:divBdr>
                <w:top w:val="none" w:sz="0" w:space="0" w:color="auto"/>
                <w:left w:val="none" w:sz="0" w:space="0" w:color="auto"/>
                <w:bottom w:val="none" w:sz="0" w:space="0" w:color="auto"/>
                <w:right w:val="none" w:sz="0" w:space="0" w:color="auto"/>
              </w:divBdr>
              <w:divsChild>
                <w:div w:id="1433279131">
                  <w:marLeft w:val="0"/>
                  <w:marRight w:val="0"/>
                  <w:marTop w:val="0"/>
                  <w:marBottom w:val="0"/>
                  <w:divBdr>
                    <w:top w:val="none" w:sz="0" w:space="0" w:color="auto"/>
                    <w:left w:val="none" w:sz="0" w:space="0" w:color="auto"/>
                    <w:bottom w:val="none" w:sz="0" w:space="0" w:color="auto"/>
                    <w:right w:val="none" w:sz="0" w:space="0" w:color="auto"/>
                  </w:divBdr>
                  <w:divsChild>
                    <w:div w:id="691417757">
                      <w:marLeft w:val="0"/>
                      <w:marRight w:val="0"/>
                      <w:marTop w:val="0"/>
                      <w:marBottom w:val="0"/>
                      <w:divBdr>
                        <w:top w:val="none" w:sz="0" w:space="0" w:color="auto"/>
                        <w:left w:val="none" w:sz="0" w:space="0" w:color="auto"/>
                        <w:bottom w:val="none" w:sz="0" w:space="0" w:color="auto"/>
                        <w:right w:val="none" w:sz="0" w:space="0" w:color="auto"/>
                      </w:divBdr>
                      <w:divsChild>
                        <w:div w:id="961615157">
                          <w:marLeft w:val="0"/>
                          <w:marRight w:val="0"/>
                          <w:marTop w:val="0"/>
                          <w:marBottom w:val="0"/>
                          <w:divBdr>
                            <w:top w:val="none" w:sz="0" w:space="0" w:color="auto"/>
                            <w:left w:val="none" w:sz="0" w:space="0" w:color="auto"/>
                            <w:bottom w:val="none" w:sz="0" w:space="0" w:color="auto"/>
                            <w:right w:val="none" w:sz="0" w:space="0" w:color="auto"/>
                          </w:divBdr>
                          <w:divsChild>
                            <w:div w:id="10292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Sayfa1!$B$1</c:f>
              <c:strCache>
                <c:ptCount val="1"/>
                <c:pt idx="0">
                  <c:v>2015 Yılı Başlangıç Ödeneği (1000TL)</c:v>
                </c:pt>
              </c:strCache>
            </c:strRef>
          </c:tx>
          <c:spPr>
            <a:solidFill>
              <a:srgbClr val="5B9BD5"/>
            </a:solidFill>
            <a:ln w="25401">
              <a:noFill/>
            </a:ln>
          </c:spPr>
          <c:invertIfNegative val="0"/>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 Kur.Dev.Pirim Gid.</c:v>
                </c:pt>
                <c:pt idx="2">
                  <c:v>Mal ve Hizmet Alım Giderleri</c:v>
                </c:pt>
                <c:pt idx="3">
                  <c:v>Cari Transferler</c:v>
                </c:pt>
                <c:pt idx="4">
                  <c:v>Sermaye Giderleri</c:v>
                </c:pt>
              </c:strCache>
            </c:strRef>
          </c:cat>
          <c:val>
            <c:numRef>
              <c:f>Sayfa1!$B$2:$B$6</c:f>
              <c:numCache>
                <c:formatCode>General</c:formatCode>
                <c:ptCount val="5"/>
                <c:pt idx="0">
                  <c:v>27472</c:v>
                </c:pt>
                <c:pt idx="1">
                  <c:v>3763</c:v>
                </c:pt>
                <c:pt idx="2">
                  <c:v>2443</c:v>
                </c:pt>
                <c:pt idx="3">
                  <c:v>1705</c:v>
                </c:pt>
                <c:pt idx="4">
                  <c:v>0</c:v>
                </c:pt>
              </c:numCache>
            </c:numRef>
          </c:val>
          <c:extLst>
            <c:ext xmlns:c16="http://schemas.microsoft.com/office/drawing/2014/chart" uri="{C3380CC4-5D6E-409C-BE32-E72D297353CC}">
              <c16:uniqueId val="{00000000-1FA6-472E-AE18-718DDBE76A98}"/>
            </c:ext>
          </c:extLst>
        </c:ser>
        <c:ser>
          <c:idx val="1"/>
          <c:order val="1"/>
          <c:tx>
            <c:strRef>
              <c:f>Sayfa1!$C$1</c:f>
              <c:strCache>
                <c:ptCount val="1"/>
                <c:pt idx="0">
                  <c:v>2016 Yılı Başlangıç Ödeneği (1000TL)2</c:v>
                </c:pt>
              </c:strCache>
            </c:strRef>
          </c:tx>
          <c:spPr>
            <a:solidFill>
              <a:srgbClr val="ED7D31"/>
            </a:solidFill>
            <a:ln w="25401">
              <a:noFill/>
            </a:ln>
          </c:spPr>
          <c:invertIfNegative val="0"/>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 Kur.Dev.Pirim Gid.</c:v>
                </c:pt>
                <c:pt idx="2">
                  <c:v>Mal ve Hizmet Alım Giderleri</c:v>
                </c:pt>
                <c:pt idx="3">
                  <c:v>Cari Transferler</c:v>
                </c:pt>
                <c:pt idx="4">
                  <c:v>Sermaye Giderleri</c:v>
                </c:pt>
              </c:strCache>
            </c:strRef>
          </c:cat>
          <c:val>
            <c:numRef>
              <c:f>Sayfa1!$C$2:$C$6</c:f>
              <c:numCache>
                <c:formatCode>General</c:formatCode>
                <c:ptCount val="5"/>
                <c:pt idx="0">
                  <c:v>32751</c:v>
                </c:pt>
                <c:pt idx="1">
                  <c:v>4586</c:v>
                </c:pt>
                <c:pt idx="2">
                  <c:v>3604</c:v>
                </c:pt>
                <c:pt idx="3">
                  <c:v>1911</c:v>
                </c:pt>
                <c:pt idx="4">
                  <c:v>0</c:v>
                </c:pt>
              </c:numCache>
            </c:numRef>
          </c:val>
          <c:extLst>
            <c:ext xmlns:c16="http://schemas.microsoft.com/office/drawing/2014/chart" uri="{C3380CC4-5D6E-409C-BE32-E72D297353CC}">
              <c16:uniqueId val="{00000001-1FA6-472E-AE18-718DDBE76A98}"/>
            </c:ext>
          </c:extLst>
        </c:ser>
        <c:ser>
          <c:idx val="2"/>
          <c:order val="2"/>
          <c:tx>
            <c:strRef>
              <c:f>Sayfa1!$D$1</c:f>
              <c:strCache>
                <c:ptCount val="1"/>
                <c:pt idx="0">
                  <c:v>Artış Oranı</c:v>
                </c:pt>
              </c:strCache>
            </c:strRef>
          </c:tx>
          <c:spPr>
            <a:solidFill>
              <a:srgbClr val="A5A5A5"/>
            </a:solidFill>
            <a:ln w="25401">
              <a:noFill/>
            </a:ln>
          </c:spPr>
          <c:invertIfNegative val="0"/>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Sayfa1!$A$2:$A$6</c:f>
              <c:strCache>
                <c:ptCount val="5"/>
                <c:pt idx="0">
                  <c:v>Personel Giderleri</c:v>
                </c:pt>
                <c:pt idx="1">
                  <c:v>Sosyal Güv. Kur.Dev.Pirim Gid.</c:v>
                </c:pt>
                <c:pt idx="2">
                  <c:v>Mal ve Hizmet Alım Giderleri</c:v>
                </c:pt>
                <c:pt idx="3">
                  <c:v>Cari Transferler</c:v>
                </c:pt>
                <c:pt idx="4">
                  <c:v>Sermaye Giderleri</c:v>
                </c:pt>
              </c:strCache>
            </c:strRef>
          </c:cat>
          <c:val>
            <c:numRef>
              <c:f>Sayfa1!$D$2:$D$6</c:f>
              <c:numCache>
                <c:formatCode>General</c:formatCode>
                <c:ptCount val="5"/>
              </c:numCache>
            </c:numRef>
          </c:val>
          <c:extLst>
            <c:ext xmlns:c16="http://schemas.microsoft.com/office/drawing/2014/chart" uri="{C3380CC4-5D6E-409C-BE32-E72D297353CC}">
              <c16:uniqueId val="{00000002-1FA6-472E-AE18-718DDBE76A98}"/>
            </c:ext>
          </c:extLst>
        </c:ser>
        <c:dLbls>
          <c:showLegendKey val="0"/>
          <c:showVal val="0"/>
          <c:showCatName val="0"/>
          <c:showSerName val="0"/>
          <c:showPercent val="0"/>
          <c:showBubbleSize val="0"/>
        </c:dLbls>
        <c:gapWidth val="219"/>
        <c:overlap val="-27"/>
        <c:axId val="1829704511"/>
        <c:axId val="1"/>
      </c:barChart>
      <c:catAx>
        <c:axId val="1829704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29704511"/>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tr-TR"/>
              <a:t>2015 Yılı İlk Altı Aylık Bütçe Uygulama Sonuçları</a:t>
            </a:r>
          </a:p>
        </c:rich>
      </c:tx>
      <c:overlay val="0"/>
      <c:spPr>
        <a:noFill/>
        <a:ln>
          <a:noFill/>
        </a:ln>
        <a:effectLst/>
      </c:spPr>
    </c:title>
    <c:autoTitleDeleted val="0"/>
    <c:plotArea>
      <c:layout/>
      <c:barChart>
        <c:barDir val="col"/>
        <c:grouping val="clustered"/>
        <c:varyColors val="0"/>
        <c:ser>
          <c:idx val="0"/>
          <c:order val="0"/>
          <c:tx>
            <c:strRef>
              <c:f>Sayfa1!$B$1</c:f>
              <c:strCache>
                <c:ptCount val="1"/>
                <c:pt idx="0">
                  <c:v>2015 Yılı Başlangıç Ödeneği</c:v>
                </c:pt>
              </c:strCache>
            </c:strRef>
          </c:tx>
          <c:spPr>
            <a:solidFill>
              <a:schemeClr val="accent1"/>
            </a:solidFill>
            <a:ln>
              <a:noFill/>
            </a:ln>
            <a:effectLst/>
          </c:spPr>
          <c:invertIfNegative val="0"/>
          <c:cat>
            <c:strRef>
              <c:f>Sayfa1!$A$2:$A$6</c:f>
              <c:strCache>
                <c:ptCount val="5"/>
                <c:pt idx="0">
                  <c:v>Personel Giderleri</c:v>
                </c:pt>
                <c:pt idx="1">
                  <c:v>Sosyal Güv. Kur.Dev.Pirim Gid.</c:v>
                </c:pt>
                <c:pt idx="2">
                  <c:v>Mal ve Hizmet Alım Giderleri</c:v>
                </c:pt>
                <c:pt idx="3">
                  <c:v>Cari Transferler</c:v>
                </c:pt>
                <c:pt idx="4">
                  <c:v>Sermaye Giderleri</c:v>
                </c:pt>
              </c:strCache>
            </c:strRef>
          </c:cat>
          <c:val>
            <c:numRef>
              <c:f>Sayfa1!$B$2:$B$6</c:f>
              <c:numCache>
                <c:formatCode>General</c:formatCode>
                <c:ptCount val="5"/>
                <c:pt idx="0">
                  <c:v>28643</c:v>
                </c:pt>
                <c:pt idx="1">
                  <c:v>3968</c:v>
                </c:pt>
                <c:pt idx="2">
                  <c:v>2882</c:v>
                </c:pt>
                <c:pt idx="3">
                  <c:v>1935</c:v>
                </c:pt>
                <c:pt idx="4">
                  <c:v>3000</c:v>
                </c:pt>
              </c:numCache>
            </c:numRef>
          </c:val>
          <c:extLst>
            <c:ext xmlns:c16="http://schemas.microsoft.com/office/drawing/2014/chart" uri="{C3380CC4-5D6E-409C-BE32-E72D297353CC}">
              <c16:uniqueId val="{00000000-94FA-4706-9B92-453E94969FC4}"/>
            </c:ext>
          </c:extLst>
        </c:ser>
        <c:ser>
          <c:idx val="1"/>
          <c:order val="1"/>
          <c:tx>
            <c:strRef>
              <c:f>Sayfa1!$C$1</c:f>
              <c:strCache>
                <c:ptCount val="1"/>
                <c:pt idx="0">
                  <c:v>2015 Yılı İlk Altı Aylık Gerçekleşme</c:v>
                </c:pt>
              </c:strCache>
            </c:strRef>
          </c:tx>
          <c:spPr>
            <a:solidFill>
              <a:schemeClr val="accent2"/>
            </a:solidFill>
            <a:ln>
              <a:noFill/>
            </a:ln>
            <a:effectLst/>
          </c:spPr>
          <c:invertIfNegative val="0"/>
          <c:cat>
            <c:strRef>
              <c:f>Sayfa1!$A$2:$A$6</c:f>
              <c:strCache>
                <c:ptCount val="5"/>
                <c:pt idx="0">
                  <c:v>Personel Giderleri</c:v>
                </c:pt>
                <c:pt idx="1">
                  <c:v>Sosyal Güv. Kur.Dev.Pirim Gid.</c:v>
                </c:pt>
                <c:pt idx="2">
                  <c:v>Mal ve Hizmet Alım Giderleri</c:v>
                </c:pt>
                <c:pt idx="3">
                  <c:v>Cari Transferler</c:v>
                </c:pt>
                <c:pt idx="4">
                  <c:v>Sermaye Giderleri</c:v>
                </c:pt>
              </c:strCache>
            </c:strRef>
          </c:cat>
          <c:val>
            <c:numRef>
              <c:f>Sayfa1!$C$2:$C$6</c:f>
              <c:numCache>
                <c:formatCode>General</c:formatCode>
                <c:ptCount val="5"/>
                <c:pt idx="0">
                  <c:v>12031</c:v>
                </c:pt>
                <c:pt idx="1">
                  <c:v>1982</c:v>
                </c:pt>
                <c:pt idx="2">
                  <c:v>5075</c:v>
                </c:pt>
                <c:pt idx="3">
                  <c:v>35749</c:v>
                </c:pt>
                <c:pt idx="4">
                  <c:v>120</c:v>
                </c:pt>
              </c:numCache>
            </c:numRef>
          </c:val>
          <c:extLst>
            <c:ext xmlns:c16="http://schemas.microsoft.com/office/drawing/2014/chart" uri="{C3380CC4-5D6E-409C-BE32-E72D297353CC}">
              <c16:uniqueId val="{00000001-94FA-4706-9B92-453E94969FC4}"/>
            </c:ext>
          </c:extLst>
        </c:ser>
        <c:ser>
          <c:idx val="2"/>
          <c:order val="2"/>
          <c:tx>
            <c:strRef>
              <c:f>Sayfa1!$D$1</c:f>
              <c:strCache>
                <c:ptCount val="1"/>
                <c:pt idx="0">
                  <c:v>Gerçekleşme Oranı</c:v>
                </c:pt>
              </c:strCache>
            </c:strRef>
          </c:tx>
          <c:spPr>
            <a:solidFill>
              <a:schemeClr val="accent3"/>
            </a:solidFill>
            <a:ln>
              <a:noFill/>
            </a:ln>
            <a:effectLst/>
          </c:spPr>
          <c:invertIfNegative val="0"/>
          <c:cat>
            <c:strRef>
              <c:f>Sayfa1!$A$2:$A$6</c:f>
              <c:strCache>
                <c:ptCount val="5"/>
                <c:pt idx="0">
                  <c:v>Personel Giderleri</c:v>
                </c:pt>
                <c:pt idx="1">
                  <c:v>Sosyal Güv. Kur.Dev.Pirim Gid.</c:v>
                </c:pt>
                <c:pt idx="2">
                  <c:v>Mal ve Hizmet Alım Giderleri</c:v>
                </c:pt>
                <c:pt idx="3">
                  <c:v>Cari Transferler</c:v>
                </c:pt>
                <c:pt idx="4">
                  <c:v>Sermaye Giderleri</c:v>
                </c:pt>
              </c:strCache>
            </c:strRef>
          </c:cat>
          <c:val>
            <c:numRef>
              <c:f>Sayfa1!$D$2:$D$6</c:f>
              <c:numCache>
                <c:formatCode>General</c:formatCode>
                <c:ptCount val="5"/>
              </c:numCache>
            </c:numRef>
          </c:val>
          <c:extLst>
            <c:ext xmlns:c16="http://schemas.microsoft.com/office/drawing/2014/chart" uri="{C3380CC4-5D6E-409C-BE32-E72D297353CC}">
              <c16:uniqueId val="{00000002-94FA-4706-9B92-453E94969FC4}"/>
            </c:ext>
          </c:extLst>
        </c:ser>
        <c:dLbls>
          <c:showLegendKey val="0"/>
          <c:showVal val="0"/>
          <c:showCatName val="0"/>
          <c:showSerName val="0"/>
          <c:showPercent val="0"/>
          <c:showBubbleSize val="0"/>
        </c:dLbls>
        <c:gapWidth val="219"/>
        <c:overlap val="-27"/>
        <c:axId val="1829724975"/>
        <c:axId val="1"/>
      </c:barChart>
      <c:catAx>
        <c:axId val="1829724975"/>
        <c:scaling>
          <c:orientation val="minMax"/>
        </c:scaling>
        <c:delete val="0"/>
        <c:axPos val="b"/>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majorGridlines>
          <c:spPr>
            <a:ln w="9516"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tr-TR"/>
          </a:p>
        </c:txPr>
        <c:crossAx val="1829724975"/>
        <c:crosses val="autoZero"/>
        <c:crossBetween val="between"/>
      </c:valAx>
      <c:spPr>
        <a:noFill/>
        <a:ln w="25377">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tr-TR"/>
              <a:t>2016 Yılı İlk Altı Aylık Bütçe Uygulama Sonuçları</a:t>
            </a:r>
          </a:p>
        </c:rich>
      </c:tx>
      <c:overlay val="0"/>
      <c:spPr>
        <a:noFill/>
        <a:ln>
          <a:noFill/>
        </a:ln>
        <a:effectLst/>
      </c:spPr>
    </c:title>
    <c:autoTitleDeleted val="0"/>
    <c:plotArea>
      <c:layout/>
      <c:barChart>
        <c:barDir val="col"/>
        <c:grouping val="clustered"/>
        <c:varyColors val="0"/>
        <c:ser>
          <c:idx val="0"/>
          <c:order val="0"/>
          <c:tx>
            <c:strRef>
              <c:f>Sayfa1!$B$1</c:f>
              <c:strCache>
                <c:ptCount val="1"/>
                <c:pt idx="0">
                  <c:v>2016 Yılı Başlangıç Ödeneği (1000TL)</c:v>
                </c:pt>
              </c:strCache>
            </c:strRef>
          </c:tx>
          <c:spPr>
            <a:solidFill>
              <a:schemeClr val="accent1"/>
            </a:solidFill>
            <a:ln>
              <a:noFill/>
            </a:ln>
            <a:effectLst/>
          </c:spPr>
          <c:invertIfNegative val="0"/>
          <c:cat>
            <c:strRef>
              <c:f>Sayfa1!$A$2:$A$6</c:f>
              <c:strCache>
                <c:ptCount val="5"/>
                <c:pt idx="0">
                  <c:v>Personel Gideri</c:v>
                </c:pt>
                <c:pt idx="1">
                  <c:v>Sosyal Güv.Kur.Dev.Pirim Giderleri</c:v>
                </c:pt>
                <c:pt idx="2">
                  <c:v>Mal ve Hizmet Alım Giderleri</c:v>
                </c:pt>
                <c:pt idx="3">
                  <c:v>Cari Trasnferler</c:v>
                </c:pt>
                <c:pt idx="4">
                  <c:v>Sermaye Gideri</c:v>
                </c:pt>
              </c:strCache>
            </c:strRef>
          </c:cat>
          <c:val>
            <c:numRef>
              <c:f>Sayfa1!$B$2:$B$6</c:f>
              <c:numCache>
                <c:formatCode>General</c:formatCode>
                <c:ptCount val="5"/>
                <c:pt idx="0">
                  <c:v>32751</c:v>
                </c:pt>
                <c:pt idx="1">
                  <c:v>4586</c:v>
                </c:pt>
                <c:pt idx="2">
                  <c:v>3604</c:v>
                </c:pt>
                <c:pt idx="3">
                  <c:v>1911</c:v>
                </c:pt>
                <c:pt idx="4">
                  <c:v>3186</c:v>
                </c:pt>
              </c:numCache>
            </c:numRef>
          </c:val>
          <c:extLst>
            <c:ext xmlns:c16="http://schemas.microsoft.com/office/drawing/2014/chart" uri="{C3380CC4-5D6E-409C-BE32-E72D297353CC}">
              <c16:uniqueId val="{00000000-7837-434A-878E-140286A018B6}"/>
            </c:ext>
          </c:extLst>
        </c:ser>
        <c:ser>
          <c:idx val="1"/>
          <c:order val="1"/>
          <c:tx>
            <c:strRef>
              <c:f>Sayfa1!$C$1</c:f>
              <c:strCache>
                <c:ptCount val="1"/>
                <c:pt idx="0">
                  <c:v>2016 Yılı İlk Altı Aylık Gerçekleşme(1000TL)</c:v>
                </c:pt>
              </c:strCache>
            </c:strRef>
          </c:tx>
          <c:spPr>
            <a:solidFill>
              <a:schemeClr val="accent2"/>
            </a:solidFill>
            <a:ln>
              <a:noFill/>
            </a:ln>
            <a:effectLst/>
          </c:spPr>
          <c:invertIfNegative val="0"/>
          <c:cat>
            <c:strRef>
              <c:f>Sayfa1!$A$2:$A$6</c:f>
              <c:strCache>
                <c:ptCount val="5"/>
                <c:pt idx="0">
                  <c:v>Personel Gideri</c:v>
                </c:pt>
                <c:pt idx="1">
                  <c:v>Sosyal Güv.Kur.Dev.Pirim Giderleri</c:v>
                </c:pt>
                <c:pt idx="2">
                  <c:v>Mal ve Hizmet Alım Giderleri</c:v>
                </c:pt>
                <c:pt idx="3">
                  <c:v>Cari Trasnferler</c:v>
                </c:pt>
                <c:pt idx="4">
                  <c:v>Sermaye Gideri</c:v>
                </c:pt>
              </c:strCache>
            </c:strRef>
          </c:cat>
          <c:val>
            <c:numRef>
              <c:f>Sayfa1!$C$2:$C$6</c:f>
              <c:numCache>
                <c:formatCode>General</c:formatCode>
                <c:ptCount val="5"/>
                <c:pt idx="0">
                  <c:v>43504</c:v>
                </c:pt>
                <c:pt idx="1">
                  <c:v>2237</c:v>
                </c:pt>
                <c:pt idx="2">
                  <c:v>4742</c:v>
                </c:pt>
                <c:pt idx="3">
                  <c:v>15975</c:v>
                </c:pt>
                <c:pt idx="4">
                  <c:v>1167</c:v>
                </c:pt>
              </c:numCache>
            </c:numRef>
          </c:val>
          <c:extLst>
            <c:ext xmlns:c16="http://schemas.microsoft.com/office/drawing/2014/chart" uri="{C3380CC4-5D6E-409C-BE32-E72D297353CC}">
              <c16:uniqueId val="{00000001-7837-434A-878E-140286A018B6}"/>
            </c:ext>
          </c:extLst>
        </c:ser>
        <c:ser>
          <c:idx val="2"/>
          <c:order val="2"/>
          <c:tx>
            <c:strRef>
              <c:f>Sayfa1!$D$1</c:f>
              <c:strCache>
                <c:ptCount val="1"/>
                <c:pt idx="0">
                  <c:v>Gerçekleşme Oranı</c:v>
                </c:pt>
              </c:strCache>
            </c:strRef>
          </c:tx>
          <c:spPr>
            <a:solidFill>
              <a:schemeClr val="accent3"/>
            </a:solidFill>
            <a:ln>
              <a:noFill/>
            </a:ln>
            <a:effectLst/>
          </c:spPr>
          <c:invertIfNegative val="0"/>
          <c:cat>
            <c:strRef>
              <c:f>Sayfa1!$A$2:$A$6</c:f>
              <c:strCache>
                <c:ptCount val="5"/>
                <c:pt idx="0">
                  <c:v>Personel Gideri</c:v>
                </c:pt>
                <c:pt idx="1">
                  <c:v>Sosyal Güv.Kur.Dev.Pirim Giderleri</c:v>
                </c:pt>
                <c:pt idx="2">
                  <c:v>Mal ve Hizmet Alım Giderleri</c:v>
                </c:pt>
                <c:pt idx="3">
                  <c:v>Cari Trasnferler</c:v>
                </c:pt>
                <c:pt idx="4">
                  <c:v>Sermaye Gideri</c:v>
                </c:pt>
              </c:strCache>
            </c:strRef>
          </c:cat>
          <c:val>
            <c:numRef>
              <c:f>Sayfa1!$D$2:$D$6</c:f>
              <c:numCache>
                <c:formatCode>General</c:formatCode>
                <c:ptCount val="5"/>
              </c:numCache>
            </c:numRef>
          </c:val>
          <c:extLst>
            <c:ext xmlns:c16="http://schemas.microsoft.com/office/drawing/2014/chart" uri="{C3380CC4-5D6E-409C-BE32-E72D297353CC}">
              <c16:uniqueId val="{00000002-7837-434A-878E-140286A018B6}"/>
            </c:ext>
          </c:extLst>
        </c:ser>
        <c:dLbls>
          <c:showLegendKey val="0"/>
          <c:showVal val="0"/>
          <c:showCatName val="0"/>
          <c:showSerName val="0"/>
          <c:showPercent val="0"/>
          <c:showBubbleSize val="0"/>
        </c:dLbls>
        <c:gapWidth val="219"/>
        <c:overlap val="-27"/>
        <c:axId val="1829703263"/>
        <c:axId val="1"/>
      </c:barChart>
      <c:catAx>
        <c:axId val="1829703263"/>
        <c:scaling>
          <c:orientation val="minMax"/>
        </c:scaling>
        <c:delete val="0"/>
        <c:axPos val="b"/>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tr-TR"/>
          </a:p>
        </c:txPr>
        <c:crossAx val="1"/>
        <c:crosses val="autoZero"/>
        <c:auto val="1"/>
        <c:lblAlgn val="ctr"/>
        <c:lblOffset val="100"/>
        <c:noMultiLvlLbl val="0"/>
      </c:catAx>
      <c:valAx>
        <c:axId val="1"/>
        <c:scaling>
          <c:orientation val="minMax"/>
        </c:scaling>
        <c:delete val="0"/>
        <c:axPos val="l"/>
        <c:majorGridlines>
          <c:spPr>
            <a:ln w="9516"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tr-TR"/>
          </a:p>
        </c:txPr>
        <c:crossAx val="1829703263"/>
        <c:crosses val="autoZero"/>
        <c:crossBetween val="between"/>
      </c:valAx>
      <c:spPr>
        <a:noFill/>
        <a:ln w="25377">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396EB-47BC-49A0-BAC0-886B58CB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1671</Words>
  <Characters>9526</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GİRİŞ:</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subject/>
  <dc:creator>3900</dc:creator>
  <cp:keywords/>
  <dc:description/>
  <cp:lastModifiedBy>MEHMET OZER</cp:lastModifiedBy>
  <cp:revision>2</cp:revision>
  <cp:lastPrinted>2011-07-22T12:56:00Z</cp:lastPrinted>
  <dcterms:created xsi:type="dcterms:W3CDTF">2025-10-10T11:35:00Z</dcterms:created>
  <dcterms:modified xsi:type="dcterms:W3CDTF">2025-10-10T11:35:00Z</dcterms:modified>
</cp:coreProperties>
</file>