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4.xml" ContentType="application/vnd.openxmlformats-officedocument.drawingml.chart+xml"/>
  <Override PartName="/word/theme/themeOverride3.xml" ContentType="application/vnd.openxmlformats-officedocument.themeOverride+xml"/>
  <Override PartName="/word/theme/theme1.xml" ContentType="application/vnd.openxmlformats-officedocument.theme+xml"/>
  <Override PartName="/word/theme/themeOverride2.xml" ContentType="application/vnd.openxmlformats-officedocument.themeOverride+xml"/>
  <Override PartName="/word/charts/chart3.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9C9" w:rsidRDefault="001359C9" w:rsidP="001359C9">
      <w:pPr>
        <w:tabs>
          <w:tab w:val="left" w:pos="567"/>
        </w:tabs>
        <w:spacing w:line="276" w:lineRule="auto"/>
        <w:jc w:val="center"/>
        <w:rPr>
          <w:b/>
        </w:rPr>
      </w:pPr>
    </w:p>
    <w:p w:rsidR="001359C9" w:rsidRDefault="001359C9" w:rsidP="001359C9">
      <w:pPr>
        <w:tabs>
          <w:tab w:val="left" w:pos="567"/>
        </w:tabs>
        <w:spacing w:line="276" w:lineRule="auto"/>
        <w:jc w:val="center"/>
        <w:rPr>
          <w:b/>
        </w:rPr>
      </w:pPr>
    </w:p>
    <w:p w:rsidR="001359C9" w:rsidRDefault="001359C9" w:rsidP="001359C9">
      <w:pPr>
        <w:tabs>
          <w:tab w:val="left" w:pos="567"/>
        </w:tabs>
        <w:spacing w:line="276" w:lineRule="auto"/>
        <w:jc w:val="center"/>
        <w:rPr>
          <w:b/>
        </w:rPr>
      </w:pPr>
    </w:p>
    <w:p w:rsidR="001359C9" w:rsidRDefault="001359C9" w:rsidP="001359C9">
      <w:pPr>
        <w:tabs>
          <w:tab w:val="left" w:pos="567"/>
        </w:tabs>
        <w:spacing w:line="276" w:lineRule="auto"/>
        <w:jc w:val="center"/>
        <w:rPr>
          <w:b/>
        </w:rPr>
      </w:pPr>
    </w:p>
    <w:p w:rsidR="001359C9" w:rsidRPr="001573E7" w:rsidRDefault="001359C9" w:rsidP="001359C9">
      <w:pPr>
        <w:tabs>
          <w:tab w:val="left" w:pos="567"/>
        </w:tabs>
        <w:spacing w:line="276" w:lineRule="auto"/>
        <w:jc w:val="center"/>
        <w:rPr>
          <w:b/>
        </w:rPr>
      </w:pPr>
      <w:r w:rsidRPr="001573E7">
        <w:rPr>
          <w:b/>
        </w:rPr>
        <w:t xml:space="preserve">YÜKSEKÖĞRETİM KURULU </w:t>
      </w:r>
    </w:p>
    <w:p w:rsidR="001359C9" w:rsidRPr="001573E7" w:rsidRDefault="001359C9" w:rsidP="001359C9">
      <w:pPr>
        <w:tabs>
          <w:tab w:val="left" w:pos="567"/>
        </w:tabs>
        <w:spacing w:line="276" w:lineRule="auto"/>
        <w:jc w:val="center"/>
        <w:rPr>
          <w:b/>
        </w:rPr>
      </w:pPr>
    </w:p>
    <w:p w:rsidR="001359C9" w:rsidRPr="001573E7" w:rsidRDefault="001359C9" w:rsidP="001359C9">
      <w:pPr>
        <w:tabs>
          <w:tab w:val="left" w:pos="567"/>
        </w:tabs>
        <w:spacing w:line="276" w:lineRule="auto"/>
        <w:jc w:val="center"/>
        <w:rPr>
          <w:b/>
        </w:rPr>
      </w:pPr>
      <w:r w:rsidRPr="001573E7">
        <w:rPr>
          <w:b/>
        </w:rPr>
        <w:t xml:space="preserve">        202</w:t>
      </w:r>
      <w:r>
        <w:rPr>
          <w:b/>
        </w:rPr>
        <w:t>4</w:t>
      </w:r>
      <w:r w:rsidRPr="001573E7">
        <w:rPr>
          <w:b/>
        </w:rPr>
        <w:t xml:space="preserve"> YILI KURUMSAL MALİ DURUM VE BEKLENTİLER RAPORU</w:t>
      </w:r>
    </w:p>
    <w:p w:rsidR="001359C9" w:rsidRPr="001573E7" w:rsidRDefault="001359C9" w:rsidP="001359C9">
      <w:pPr>
        <w:spacing w:line="276" w:lineRule="auto"/>
        <w:ind w:left="1800" w:right="72" w:firstLine="720"/>
        <w:jc w:val="both"/>
        <w:rPr>
          <w:b/>
        </w:rPr>
      </w:pPr>
    </w:p>
    <w:p w:rsidR="001359C9" w:rsidRPr="001573E7" w:rsidRDefault="001359C9" w:rsidP="001359C9">
      <w:pPr>
        <w:tabs>
          <w:tab w:val="left" w:pos="1843"/>
        </w:tabs>
        <w:spacing w:line="276" w:lineRule="auto"/>
        <w:ind w:left="1800" w:right="72" w:firstLine="720"/>
        <w:jc w:val="both"/>
        <w:rPr>
          <w:b/>
        </w:rPr>
      </w:pPr>
    </w:p>
    <w:p w:rsidR="001359C9" w:rsidRPr="001573E7" w:rsidRDefault="001359C9" w:rsidP="001359C9">
      <w:pPr>
        <w:spacing w:line="276" w:lineRule="auto"/>
        <w:ind w:left="1800" w:right="72" w:firstLine="720"/>
        <w:jc w:val="both"/>
        <w:rPr>
          <w:b/>
        </w:rPr>
      </w:pPr>
    </w:p>
    <w:p w:rsidR="001359C9" w:rsidRPr="001573E7" w:rsidRDefault="001359C9" w:rsidP="001359C9">
      <w:pPr>
        <w:spacing w:line="276" w:lineRule="auto"/>
        <w:ind w:left="1800" w:right="72" w:firstLine="720"/>
        <w:jc w:val="both"/>
        <w:rPr>
          <w:b/>
        </w:rPr>
      </w:pPr>
    </w:p>
    <w:p w:rsidR="001359C9" w:rsidRPr="001573E7" w:rsidRDefault="001359C9" w:rsidP="001359C9">
      <w:pPr>
        <w:spacing w:line="276" w:lineRule="auto"/>
        <w:ind w:left="851" w:right="567" w:firstLine="565"/>
        <w:jc w:val="both"/>
      </w:pPr>
      <w:r w:rsidRPr="001573E7">
        <w:t xml:space="preserve">5018 sayılı Kamu Mali Yönetimi ve Kontrol Kanununun 30 uncu maddesinde, genel yönetim kapsamındaki idarelerin, ilk altı aylık bütçe uygulama sonuçları, ikinci altı aya ilişkin beklentiler ve hedefler ile faaliyetlerini </w:t>
      </w:r>
      <w:proofErr w:type="gramStart"/>
      <w:r w:rsidRPr="001573E7">
        <w:t>Temmuz</w:t>
      </w:r>
      <w:proofErr w:type="gramEnd"/>
      <w:r w:rsidRPr="001573E7">
        <w:t xml:space="preserve"> ayı içinde kamuoyuna açıklayacakları hükme bağlanmıştır. </w:t>
      </w:r>
    </w:p>
    <w:p w:rsidR="001359C9" w:rsidRPr="001573E7" w:rsidRDefault="001359C9" w:rsidP="001359C9">
      <w:pPr>
        <w:spacing w:line="276" w:lineRule="auto"/>
        <w:ind w:left="851" w:right="567"/>
        <w:jc w:val="both"/>
      </w:pPr>
    </w:p>
    <w:p w:rsidR="001359C9" w:rsidRPr="001573E7" w:rsidRDefault="001359C9" w:rsidP="001359C9">
      <w:pPr>
        <w:spacing w:line="276" w:lineRule="auto"/>
        <w:ind w:left="851" w:right="567" w:firstLine="565"/>
        <w:jc w:val="both"/>
      </w:pPr>
      <w:r w:rsidRPr="001573E7">
        <w:t>Söz konusu düzenleme ile kamu hizmetlerinin yürütülmesinde ve bütçe uygulamalarında saydamlığın ve hesap verilebilirliğin artırılması, kamuoyunun kamu idareleri üzerindeki genel denetim ve gözetim fonksiyonunun gereği şekilde gerçekleştirilmesinin sağlanması amaçlanmıştır.</w:t>
      </w:r>
    </w:p>
    <w:p w:rsidR="001359C9" w:rsidRPr="001573E7" w:rsidRDefault="001359C9" w:rsidP="001359C9">
      <w:pPr>
        <w:spacing w:line="276" w:lineRule="auto"/>
        <w:ind w:left="851" w:right="567"/>
        <w:jc w:val="both"/>
      </w:pPr>
    </w:p>
    <w:p w:rsidR="001359C9" w:rsidRPr="001573E7" w:rsidRDefault="001359C9" w:rsidP="001359C9">
      <w:pPr>
        <w:spacing w:line="276" w:lineRule="auto"/>
        <w:ind w:left="851" w:right="567" w:firstLine="565"/>
        <w:jc w:val="both"/>
      </w:pPr>
      <w:r w:rsidRPr="001573E7">
        <w:t>Bu amaç doğrultusunda, genel yönetim kapsamındaki kamu idareleri arasında yer alan Yükseköğretim Kurulu Başkanlığının, yılın ilk altı aylık dönemine ilişkin bütçe uygulamaları, ikinci altı aya ilişkin beklentiler ve hedefler ile faaliyetlerin yer aldığı “202</w:t>
      </w:r>
      <w:r>
        <w:t>4</w:t>
      </w:r>
      <w:r w:rsidRPr="001573E7">
        <w:t xml:space="preserve"> Yılı Kurumsal Mali Durum ve Beklentiler Raporu” ekleriyle birlikte kamuoyunun bilgisine sunulmuştur. </w:t>
      </w:r>
    </w:p>
    <w:p w:rsidR="002141A7" w:rsidRDefault="007E1931"/>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p w:rsidR="001359C9" w:rsidRDefault="001359C9" w:rsidP="001359C9">
      <w:pPr>
        <w:pStyle w:val="ListeParagraf"/>
        <w:numPr>
          <w:ilvl w:val="0"/>
          <w:numId w:val="1"/>
        </w:numPr>
        <w:rPr>
          <w:b/>
        </w:rPr>
      </w:pPr>
      <w:r>
        <w:rPr>
          <w:b/>
        </w:rPr>
        <w:lastRenderedPageBreak/>
        <w:t>OCAK-HAZİRAN 2024 DÖNEMİ BÜTÇE UYGULAMA SONUÇLARI</w:t>
      </w:r>
    </w:p>
    <w:p w:rsidR="001359C9" w:rsidRDefault="001359C9" w:rsidP="001359C9">
      <w:pPr>
        <w:rPr>
          <w:b/>
        </w:rPr>
      </w:pPr>
    </w:p>
    <w:p w:rsidR="001359C9" w:rsidRDefault="001359C9" w:rsidP="001359C9">
      <w:pPr>
        <w:rPr>
          <w:b/>
        </w:rPr>
      </w:pPr>
    </w:p>
    <w:p w:rsidR="001359C9" w:rsidRDefault="001359C9" w:rsidP="001359C9">
      <w:pPr>
        <w:rPr>
          <w:b/>
        </w:rPr>
      </w:pPr>
    </w:p>
    <w:p w:rsidR="001359C9" w:rsidRDefault="001359C9" w:rsidP="001359C9">
      <w:pPr>
        <w:pStyle w:val="ListeParagraf"/>
        <w:numPr>
          <w:ilvl w:val="0"/>
          <w:numId w:val="2"/>
        </w:numPr>
        <w:rPr>
          <w:b/>
        </w:rPr>
      </w:pPr>
      <w:r>
        <w:rPr>
          <w:b/>
        </w:rPr>
        <w:t>BÜTÇE GİDERLERİ</w:t>
      </w:r>
    </w:p>
    <w:p w:rsidR="001359C9" w:rsidRDefault="001359C9" w:rsidP="001359C9">
      <w:pPr>
        <w:jc w:val="both"/>
      </w:pPr>
    </w:p>
    <w:p w:rsidR="00AE0F96" w:rsidRDefault="00AE0F96" w:rsidP="00AE0F96">
      <w:pPr>
        <w:spacing w:line="276" w:lineRule="auto"/>
        <w:ind w:firstLine="360"/>
        <w:jc w:val="both"/>
      </w:pPr>
    </w:p>
    <w:p w:rsidR="001359C9" w:rsidRDefault="001359C9" w:rsidP="00AE0F96">
      <w:pPr>
        <w:spacing w:line="276" w:lineRule="auto"/>
        <w:ind w:firstLine="360"/>
        <w:jc w:val="both"/>
      </w:pPr>
      <w:r>
        <w:t xml:space="preserve">2024 Yılı Merkezi Yönetim Bütçe Kanunu 31 Aralık 2023 tarihli ve 32416 sayılı Mükerrer </w:t>
      </w:r>
      <w:r w:rsidR="00AE0F96">
        <w:t>Resmî</w:t>
      </w:r>
      <w:r>
        <w:t xml:space="preserve"> Gazete ’de yayımlanarak 01.01.2024 tarihinden itibaren yürürlüğe girmiştir.</w:t>
      </w:r>
    </w:p>
    <w:p w:rsidR="001359C9" w:rsidRDefault="001359C9" w:rsidP="00AE0F96">
      <w:pPr>
        <w:spacing w:line="276" w:lineRule="auto"/>
        <w:ind w:firstLine="360"/>
        <w:jc w:val="both"/>
      </w:pPr>
    </w:p>
    <w:p w:rsidR="001D2585" w:rsidRPr="001573E7" w:rsidRDefault="001359C9" w:rsidP="00AE0F96">
      <w:pPr>
        <w:spacing w:line="276" w:lineRule="auto"/>
        <w:ind w:firstLine="360"/>
        <w:jc w:val="both"/>
        <w:rPr>
          <w:bCs/>
        </w:rPr>
      </w:pPr>
      <w:r w:rsidRPr="001359C9">
        <w:t>Yükseköğretim Kurulu Başkanlığına, Merkezi Yönetim Bütçe Kanunu ile 202</w:t>
      </w:r>
      <w:r>
        <w:t>4</w:t>
      </w:r>
      <w:r w:rsidRPr="001359C9">
        <w:t xml:space="preserve"> yılında Personel Giderleri için</w:t>
      </w:r>
      <w:r w:rsidR="001D2585">
        <w:t xml:space="preserve"> 561.764.000 -TL, </w:t>
      </w:r>
      <w:r w:rsidR="001D2585" w:rsidRPr="001573E7">
        <w:rPr>
          <w:bCs/>
        </w:rPr>
        <w:t xml:space="preserve">Sosyal Güvenlik Kurumlarına Devlet Primi Giderleri için </w:t>
      </w:r>
      <w:r w:rsidR="001D2585">
        <w:rPr>
          <w:bCs/>
        </w:rPr>
        <w:t>52.247</w:t>
      </w:r>
      <w:r w:rsidR="001D2585" w:rsidRPr="001573E7">
        <w:rPr>
          <w:bCs/>
        </w:rPr>
        <w:t xml:space="preserve">.000-TL, Mal ve Hizmet Alım Giderleri için </w:t>
      </w:r>
      <w:r w:rsidR="001D2585">
        <w:rPr>
          <w:bCs/>
        </w:rPr>
        <w:t>34.054</w:t>
      </w:r>
      <w:r w:rsidR="001D2585" w:rsidRPr="001573E7">
        <w:rPr>
          <w:bCs/>
        </w:rPr>
        <w:t xml:space="preserve">.000-TL, Cari Transferler için </w:t>
      </w:r>
      <w:r w:rsidR="001D2585">
        <w:rPr>
          <w:bCs/>
        </w:rPr>
        <w:t>128.289</w:t>
      </w:r>
      <w:r w:rsidR="001D2585" w:rsidRPr="001573E7">
        <w:rPr>
          <w:bCs/>
        </w:rPr>
        <w:t xml:space="preserve">.000-TL ve Sermaye Giderleri için </w:t>
      </w:r>
      <w:r w:rsidR="001D2585">
        <w:rPr>
          <w:bCs/>
        </w:rPr>
        <w:t>8.321</w:t>
      </w:r>
      <w:r w:rsidR="001D2585" w:rsidRPr="001573E7">
        <w:rPr>
          <w:bCs/>
        </w:rPr>
        <w:t xml:space="preserve">.000-TL olmak üzere toplam </w:t>
      </w:r>
      <w:r w:rsidR="001D2585">
        <w:rPr>
          <w:bCs/>
        </w:rPr>
        <w:t>784.675</w:t>
      </w:r>
      <w:r w:rsidR="001D2585" w:rsidRPr="001573E7">
        <w:rPr>
          <w:bCs/>
        </w:rPr>
        <w:t>.000-TL ödenek tahsis edilmiştir.</w:t>
      </w:r>
    </w:p>
    <w:p w:rsidR="001359C9" w:rsidRDefault="00B8232F" w:rsidP="00AE0F96">
      <w:pPr>
        <w:spacing w:line="276" w:lineRule="auto"/>
        <w:ind w:firstLine="360"/>
        <w:jc w:val="both"/>
      </w:pPr>
      <w:r w:rsidRPr="001573E7">
        <w:t>202</w:t>
      </w:r>
      <w:r>
        <w:t>3</w:t>
      </w:r>
      <w:r w:rsidRPr="001573E7">
        <w:t xml:space="preserve"> ve 202</w:t>
      </w:r>
      <w:r>
        <w:t>4</w:t>
      </w:r>
      <w:r w:rsidRPr="001573E7">
        <w:t xml:space="preserve"> yıllarına ilişkin başlangıç bütçe ödeneklerinin, program bütçe sistemine göre gider türleri itibariyle dağılımı aşağıdaki Grafik 1’de gösterilmiştir</w:t>
      </w:r>
      <w:r w:rsidR="00B7481B">
        <w:t>.</w:t>
      </w:r>
    </w:p>
    <w:p w:rsidR="00B7481B" w:rsidRDefault="00B7481B" w:rsidP="00B8232F">
      <w:pPr>
        <w:ind w:firstLine="360"/>
        <w:jc w:val="both"/>
      </w:pPr>
    </w:p>
    <w:p w:rsidR="00AE0F96" w:rsidRDefault="00AE0F96" w:rsidP="00B8232F">
      <w:pPr>
        <w:ind w:firstLine="360"/>
        <w:jc w:val="both"/>
      </w:pPr>
    </w:p>
    <w:p w:rsidR="00AE0F96" w:rsidRDefault="00AE0F96" w:rsidP="00B8232F">
      <w:pPr>
        <w:ind w:firstLine="360"/>
        <w:jc w:val="both"/>
      </w:pPr>
    </w:p>
    <w:p w:rsidR="00AE0F96" w:rsidRDefault="00AE0F96" w:rsidP="00B8232F">
      <w:pPr>
        <w:ind w:firstLine="360"/>
        <w:jc w:val="both"/>
      </w:pPr>
    </w:p>
    <w:p w:rsidR="00B7481B" w:rsidRDefault="00B7481B" w:rsidP="00B8232F">
      <w:pPr>
        <w:ind w:firstLine="360"/>
        <w:jc w:val="both"/>
      </w:pPr>
    </w:p>
    <w:p w:rsidR="00B7481B" w:rsidRDefault="00B7481B" w:rsidP="00B8232F">
      <w:pPr>
        <w:ind w:firstLine="360"/>
        <w:jc w:val="both"/>
      </w:pPr>
    </w:p>
    <w:p w:rsidR="00B7481B" w:rsidRDefault="00B7481B" w:rsidP="00B8232F">
      <w:pPr>
        <w:ind w:firstLine="360"/>
        <w:jc w:val="both"/>
      </w:pPr>
      <w:r>
        <w:rPr>
          <w:noProof/>
        </w:rPr>
        <w:drawing>
          <wp:inline distT="0" distB="0" distL="0" distR="0" wp14:anchorId="223BFD04" wp14:editId="7266589E">
            <wp:extent cx="5486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232F" w:rsidRDefault="00AE0F96" w:rsidP="00AE0F96">
      <w:pPr>
        <w:ind w:firstLine="360"/>
        <w:jc w:val="both"/>
      </w:pPr>
      <w:r w:rsidRPr="00AE0F96">
        <w:rPr>
          <w:b/>
        </w:rPr>
        <w:t>Grafik 1:</w:t>
      </w:r>
      <w:r w:rsidRPr="00AE0F96">
        <w:t xml:space="preserve"> 202</w:t>
      </w:r>
      <w:r>
        <w:t>3</w:t>
      </w:r>
      <w:r w:rsidRPr="00AE0F96">
        <w:t xml:space="preserve"> ve 202</w:t>
      </w:r>
      <w:r>
        <w:t>4</w:t>
      </w:r>
      <w:r w:rsidRPr="00AE0F96">
        <w:t xml:space="preserve"> Yılları Karşılaştırmalı Bütçe Başlangıç Ödenekleri</w:t>
      </w:r>
    </w:p>
    <w:p w:rsidR="00AE0F96" w:rsidRDefault="00AE0F96" w:rsidP="00AE0F96">
      <w:pPr>
        <w:ind w:firstLine="360"/>
        <w:jc w:val="both"/>
      </w:pPr>
    </w:p>
    <w:p w:rsidR="00AE0F96" w:rsidRDefault="00AE0F96" w:rsidP="00AE0F96">
      <w:pPr>
        <w:ind w:firstLine="360"/>
        <w:jc w:val="both"/>
      </w:pPr>
    </w:p>
    <w:p w:rsidR="00AE0F96" w:rsidRDefault="00AE0F96" w:rsidP="00AE0F96">
      <w:pPr>
        <w:ind w:firstLine="360"/>
        <w:jc w:val="both"/>
      </w:pPr>
    </w:p>
    <w:p w:rsidR="00AE0F96" w:rsidRPr="00BE1278" w:rsidRDefault="00AE0F96" w:rsidP="008B2479">
      <w:pPr>
        <w:pStyle w:val="GvdeMetni"/>
        <w:spacing w:line="312" w:lineRule="auto"/>
        <w:ind w:firstLine="360"/>
        <w:jc w:val="both"/>
        <w:rPr>
          <w:b/>
          <w:sz w:val="24"/>
          <w:szCs w:val="24"/>
        </w:rPr>
      </w:pPr>
      <w:r>
        <w:rPr>
          <w:sz w:val="24"/>
          <w:szCs w:val="24"/>
        </w:rPr>
        <w:t>2023 ve 2024 Yılları Merkezi Yönetim Bütçe Kanunlarıyla Yükseköğretim Kurulu Başkanlığına tahsis edilen ödeneklerin Ocak-Haziran dönemi sonu itibariyle fiili gerçekleşmelerine ilişkin ayrıntılı veriler (EK:1) tabloda belirtilmiştir.</w:t>
      </w:r>
    </w:p>
    <w:p w:rsidR="00CA64DC" w:rsidRDefault="00AE0F96" w:rsidP="00BE1278">
      <w:pPr>
        <w:pStyle w:val="GvdeMetni"/>
        <w:spacing w:line="276" w:lineRule="auto"/>
        <w:ind w:firstLine="709"/>
        <w:jc w:val="both"/>
        <w:rPr>
          <w:sz w:val="24"/>
          <w:szCs w:val="24"/>
        </w:rPr>
      </w:pPr>
      <w:r>
        <w:rPr>
          <w:sz w:val="24"/>
          <w:szCs w:val="24"/>
        </w:rPr>
        <w:lastRenderedPageBreak/>
        <w:t>Yükseköğretim Kurulu Başkanlığına 2023 ve 2024 yıllarında tahsis edilen başlangıç ödenekleri ile bu ödeneklerden ilk altışar aylık dönemlerde gerçekleşen harcama tutarları ve oranları aşağıdaki Grafik 2 ve Grafik 3’te gösterilmiştir.</w:t>
      </w:r>
    </w:p>
    <w:p w:rsidR="00CA64DC" w:rsidRDefault="00501AC0" w:rsidP="00501AC0">
      <w:pPr>
        <w:pStyle w:val="GvdeMetni"/>
        <w:spacing w:line="276" w:lineRule="auto"/>
        <w:ind w:left="360"/>
        <w:jc w:val="both"/>
        <w:rPr>
          <w:sz w:val="24"/>
          <w:szCs w:val="24"/>
        </w:rPr>
      </w:pPr>
      <w:r>
        <w:rPr>
          <w:sz w:val="24"/>
          <w:szCs w:val="24"/>
        </w:rPr>
        <w:t xml:space="preserve">     </w:t>
      </w:r>
      <w:r w:rsidR="00CA64DC">
        <w:rPr>
          <w:noProof/>
        </w:rPr>
        <w:drawing>
          <wp:inline distT="0" distB="0" distL="0" distR="0" wp14:anchorId="07607246" wp14:editId="6E9A1F3B">
            <wp:extent cx="5742305" cy="3569335"/>
            <wp:effectExtent l="0" t="0" r="10795" b="1206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0F96" w:rsidRDefault="00DD2960" w:rsidP="00BE1278">
      <w:pPr>
        <w:ind w:firstLine="360"/>
        <w:jc w:val="both"/>
      </w:pPr>
      <w:r>
        <w:tab/>
      </w:r>
      <w:r w:rsidRPr="00DD2960">
        <w:rPr>
          <w:b/>
        </w:rPr>
        <w:t>Grafik 2:</w:t>
      </w:r>
      <w:r w:rsidRPr="00DD2960">
        <w:t xml:space="preserve"> 202</w:t>
      </w:r>
      <w:r>
        <w:t>3</w:t>
      </w:r>
      <w:r w:rsidRPr="00DD2960">
        <w:t xml:space="preserve"> Yılı İlk Altı Aylık Bütçe Uygulama Sonuçları</w:t>
      </w:r>
    </w:p>
    <w:p w:rsidR="008B2479" w:rsidRDefault="008B2479" w:rsidP="00BE1278">
      <w:pPr>
        <w:ind w:firstLine="360"/>
        <w:jc w:val="both"/>
      </w:pPr>
    </w:p>
    <w:p w:rsidR="008B2479" w:rsidRDefault="008B2479" w:rsidP="00BE1278">
      <w:pPr>
        <w:ind w:firstLine="360"/>
        <w:jc w:val="both"/>
      </w:pPr>
    </w:p>
    <w:p w:rsidR="00AE0F96" w:rsidRDefault="00AE0F96" w:rsidP="00AE0F96">
      <w:pPr>
        <w:ind w:firstLine="360"/>
        <w:jc w:val="both"/>
      </w:pPr>
    </w:p>
    <w:p w:rsidR="00AE0F96" w:rsidRDefault="00DD2960" w:rsidP="00AE0F96">
      <w:pPr>
        <w:ind w:firstLine="360"/>
        <w:jc w:val="both"/>
      </w:pPr>
      <w:r>
        <w:rPr>
          <w:noProof/>
        </w:rPr>
        <w:drawing>
          <wp:inline distT="0" distB="0" distL="0" distR="0" wp14:anchorId="657A94B7" wp14:editId="11383D0F">
            <wp:extent cx="5648325" cy="324802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0F96" w:rsidRDefault="00DD2960" w:rsidP="00AE0F96">
      <w:pPr>
        <w:ind w:firstLine="360"/>
        <w:jc w:val="both"/>
      </w:pPr>
      <w:r w:rsidRPr="00DD2960">
        <w:rPr>
          <w:b/>
        </w:rPr>
        <w:t>Grafik 3:</w:t>
      </w:r>
      <w:r w:rsidRPr="00DD2960">
        <w:t xml:space="preserve"> 202</w:t>
      </w:r>
      <w:r>
        <w:t>4</w:t>
      </w:r>
      <w:r w:rsidRPr="00DD2960">
        <w:t xml:space="preserve"> İlk Altı Aylık Bütçe Uygulama Sonuçları</w:t>
      </w:r>
    </w:p>
    <w:p w:rsidR="00DD2960" w:rsidRDefault="00DD2960" w:rsidP="00AE0F96">
      <w:pPr>
        <w:ind w:firstLine="360"/>
        <w:jc w:val="both"/>
      </w:pPr>
    </w:p>
    <w:p w:rsidR="00DD2960" w:rsidRDefault="00DD2960" w:rsidP="00AE0F96">
      <w:pPr>
        <w:ind w:firstLine="360"/>
        <w:jc w:val="both"/>
      </w:pPr>
    </w:p>
    <w:p w:rsidR="00DD2960" w:rsidRDefault="00DD2960" w:rsidP="00AE0F96">
      <w:pPr>
        <w:ind w:firstLine="360"/>
        <w:jc w:val="both"/>
      </w:pPr>
    </w:p>
    <w:p w:rsidR="00DD2960" w:rsidRPr="001573E7" w:rsidRDefault="00DD2960" w:rsidP="00DD2960">
      <w:pPr>
        <w:pStyle w:val="GvdeMetni"/>
        <w:spacing w:line="276" w:lineRule="auto"/>
        <w:ind w:firstLine="708"/>
        <w:jc w:val="both"/>
        <w:rPr>
          <w:sz w:val="24"/>
          <w:szCs w:val="24"/>
        </w:rPr>
      </w:pPr>
      <w:r w:rsidRPr="001573E7">
        <w:rPr>
          <w:sz w:val="24"/>
          <w:szCs w:val="24"/>
        </w:rPr>
        <w:t>202</w:t>
      </w:r>
      <w:r>
        <w:rPr>
          <w:sz w:val="24"/>
          <w:szCs w:val="24"/>
        </w:rPr>
        <w:t>3</w:t>
      </w:r>
      <w:r w:rsidRPr="001573E7">
        <w:rPr>
          <w:sz w:val="24"/>
          <w:szCs w:val="24"/>
        </w:rPr>
        <w:t>-202</w:t>
      </w:r>
      <w:r>
        <w:rPr>
          <w:sz w:val="24"/>
          <w:szCs w:val="24"/>
        </w:rPr>
        <w:t>4</w:t>
      </w:r>
      <w:r w:rsidRPr="001573E7">
        <w:rPr>
          <w:sz w:val="24"/>
          <w:szCs w:val="24"/>
        </w:rPr>
        <w:t xml:space="preserve"> Yılı Karşılaştırmalı İlk Altı Aylık Bütçe Uygulama Sonuçları aşağıda Grafik 4’de gösterilmiştir.</w:t>
      </w:r>
    </w:p>
    <w:p w:rsidR="00DD2960" w:rsidRPr="001573E7" w:rsidRDefault="00DD2960" w:rsidP="00DD2960">
      <w:pPr>
        <w:pStyle w:val="GvdeMetni"/>
        <w:spacing w:line="276" w:lineRule="auto"/>
        <w:jc w:val="both"/>
        <w:rPr>
          <w:sz w:val="24"/>
          <w:szCs w:val="24"/>
        </w:rPr>
      </w:pPr>
    </w:p>
    <w:p w:rsidR="00DD2960" w:rsidRPr="001573E7" w:rsidRDefault="00DD2960" w:rsidP="00DD2960">
      <w:pPr>
        <w:pStyle w:val="GvdeMetni"/>
        <w:spacing w:line="276" w:lineRule="auto"/>
        <w:jc w:val="both"/>
        <w:rPr>
          <w:sz w:val="24"/>
          <w:szCs w:val="24"/>
        </w:rPr>
      </w:pPr>
      <w:r w:rsidRPr="001573E7">
        <w:rPr>
          <w:sz w:val="24"/>
          <w:szCs w:val="24"/>
        </w:rPr>
        <w:t>Buna göre;</w:t>
      </w:r>
    </w:p>
    <w:p w:rsidR="00DD2960" w:rsidRPr="001573E7" w:rsidRDefault="00DD2960" w:rsidP="00DD2960">
      <w:pPr>
        <w:pStyle w:val="GvdeMetni"/>
        <w:spacing w:line="276" w:lineRule="auto"/>
        <w:jc w:val="both"/>
        <w:rPr>
          <w:sz w:val="24"/>
          <w:szCs w:val="24"/>
        </w:rPr>
      </w:pPr>
    </w:p>
    <w:p w:rsidR="00DD2960" w:rsidRPr="001573E7" w:rsidRDefault="00DD2960" w:rsidP="00DD2960">
      <w:pPr>
        <w:pStyle w:val="GvdeMetni"/>
        <w:spacing w:line="276" w:lineRule="auto"/>
        <w:ind w:firstLine="709"/>
        <w:jc w:val="both"/>
        <w:rPr>
          <w:sz w:val="24"/>
          <w:szCs w:val="24"/>
        </w:rPr>
      </w:pPr>
      <w:r w:rsidRPr="001573E7">
        <w:rPr>
          <w:sz w:val="24"/>
          <w:szCs w:val="24"/>
        </w:rPr>
        <w:t>Personel giderleri, 202</w:t>
      </w:r>
      <w:r>
        <w:rPr>
          <w:sz w:val="24"/>
          <w:szCs w:val="24"/>
        </w:rPr>
        <w:t>3</w:t>
      </w:r>
      <w:r w:rsidRPr="001573E7">
        <w:rPr>
          <w:sz w:val="24"/>
          <w:szCs w:val="24"/>
        </w:rPr>
        <w:t xml:space="preserve"> yılının ilk altı ayının gerçekleşme rakamlarına göre yaklaşık %1</w:t>
      </w:r>
      <w:r w:rsidR="00BE1278">
        <w:rPr>
          <w:sz w:val="24"/>
          <w:szCs w:val="24"/>
        </w:rPr>
        <w:t>46,25</w:t>
      </w:r>
      <w:r w:rsidRPr="001573E7">
        <w:rPr>
          <w:sz w:val="24"/>
          <w:szCs w:val="24"/>
        </w:rPr>
        <w:t xml:space="preserve"> artarak </w:t>
      </w:r>
      <w:r w:rsidR="00BE1278">
        <w:rPr>
          <w:sz w:val="24"/>
          <w:szCs w:val="24"/>
        </w:rPr>
        <w:t>344.960.899</w:t>
      </w:r>
      <w:r w:rsidRPr="001573E7">
        <w:rPr>
          <w:sz w:val="24"/>
          <w:szCs w:val="24"/>
        </w:rPr>
        <w:t>-TL olarak gerçekleşmiştir.</w:t>
      </w:r>
    </w:p>
    <w:p w:rsidR="00DD2960" w:rsidRPr="001573E7" w:rsidRDefault="00DD2960" w:rsidP="00DD2960">
      <w:pPr>
        <w:pStyle w:val="GvdeMetni"/>
        <w:spacing w:line="276" w:lineRule="auto"/>
        <w:ind w:firstLine="709"/>
        <w:jc w:val="both"/>
        <w:rPr>
          <w:sz w:val="24"/>
          <w:szCs w:val="24"/>
        </w:rPr>
      </w:pPr>
    </w:p>
    <w:p w:rsidR="00DD2960" w:rsidRPr="001573E7" w:rsidRDefault="00DD2960" w:rsidP="00DD2960">
      <w:pPr>
        <w:pStyle w:val="GvdeMetni"/>
        <w:spacing w:line="276" w:lineRule="auto"/>
        <w:ind w:firstLine="709"/>
        <w:jc w:val="both"/>
        <w:rPr>
          <w:sz w:val="24"/>
          <w:szCs w:val="24"/>
        </w:rPr>
      </w:pPr>
      <w:r w:rsidRPr="001573E7">
        <w:rPr>
          <w:sz w:val="24"/>
          <w:szCs w:val="24"/>
        </w:rPr>
        <w:t>Sosyal Güvenlik Kurumlarına Devlet Primi Giderlerinde 202</w:t>
      </w:r>
      <w:r>
        <w:rPr>
          <w:sz w:val="24"/>
          <w:szCs w:val="24"/>
        </w:rPr>
        <w:t>3</w:t>
      </w:r>
      <w:r w:rsidRPr="001573E7">
        <w:rPr>
          <w:sz w:val="24"/>
          <w:szCs w:val="24"/>
        </w:rPr>
        <w:t xml:space="preserve"> yılının ilk altı ayına göre yaklaşık %</w:t>
      </w:r>
      <w:r w:rsidR="00BE1278">
        <w:rPr>
          <w:sz w:val="24"/>
          <w:szCs w:val="24"/>
        </w:rPr>
        <w:t>84,92</w:t>
      </w:r>
      <w:r w:rsidRPr="001573E7">
        <w:rPr>
          <w:sz w:val="24"/>
          <w:szCs w:val="24"/>
        </w:rPr>
        <w:t xml:space="preserve"> artarak </w:t>
      </w:r>
      <w:r w:rsidR="00BE1278">
        <w:rPr>
          <w:sz w:val="24"/>
          <w:szCs w:val="24"/>
        </w:rPr>
        <w:t>27.220.592</w:t>
      </w:r>
      <w:r w:rsidRPr="001573E7">
        <w:rPr>
          <w:sz w:val="24"/>
          <w:szCs w:val="24"/>
        </w:rPr>
        <w:t>-TL olarak gerçekleşmiştir.</w:t>
      </w:r>
    </w:p>
    <w:p w:rsidR="00DD2960" w:rsidRPr="001573E7" w:rsidRDefault="00DD2960" w:rsidP="00DD2960">
      <w:pPr>
        <w:pStyle w:val="GvdeMetni"/>
        <w:spacing w:line="276" w:lineRule="auto"/>
        <w:ind w:firstLine="709"/>
        <w:jc w:val="both"/>
        <w:rPr>
          <w:sz w:val="24"/>
          <w:szCs w:val="24"/>
        </w:rPr>
      </w:pPr>
    </w:p>
    <w:p w:rsidR="00DD2960" w:rsidRPr="001573E7" w:rsidRDefault="00DD2960" w:rsidP="00DD2960">
      <w:pPr>
        <w:pStyle w:val="GvdeMetni"/>
        <w:spacing w:line="276" w:lineRule="auto"/>
        <w:ind w:firstLine="709"/>
        <w:jc w:val="both"/>
        <w:rPr>
          <w:sz w:val="24"/>
          <w:szCs w:val="24"/>
        </w:rPr>
      </w:pPr>
      <w:r w:rsidRPr="001573E7">
        <w:rPr>
          <w:sz w:val="24"/>
          <w:szCs w:val="24"/>
        </w:rPr>
        <w:t>Mal ve Hizmet Alım Giderleri bir önceki yılın aynı dönemine göre yaklaşık %</w:t>
      </w:r>
      <w:r w:rsidR="00BE1278">
        <w:rPr>
          <w:sz w:val="24"/>
          <w:szCs w:val="24"/>
        </w:rPr>
        <w:t>118,27</w:t>
      </w:r>
      <w:r w:rsidRPr="001573E7">
        <w:rPr>
          <w:sz w:val="24"/>
          <w:szCs w:val="24"/>
        </w:rPr>
        <w:t xml:space="preserve"> artarak </w:t>
      </w:r>
      <w:r w:rsidR="00BE1278">
        <w:rPr>
          <w:sz w:val="24"/>
          <w:szCs w:val="24"/>
        </w:rPr>
        <w:t>56.616.387</w:t>
      </w:r>
      <w:r w:rsidRPr="001573E7">
        <w:rPr>
          <w:sz w:val="24"/>
          <w:szCs w:val="24"/>
        </w:rPr>
        <w:t>-TL olarak gerçekleşmiştir.</w:t>
      </w:r>
    </w:p>
    <w:p w:rsidR="00DD2960" w:rsidRPr="001573E7" w:rsidRDefault="00DD2960" w:rsidP="00DD2960">
      <w:pPr>
        <w:pStyle w:val="GvdeMetni"/>
        <w:spacing w:line="276" w:lineRule="auto"/>
        <w:ind w:firstLine="709"/>
        <w:jc w:val="both"/>
        <w:rPr>
          <w:sz w:val="24"/>
          <w:szCs w:val="24"/>
        </w:rPr>
      </w:pPr>
    </w:p>
    <w:p w:rsidR="00DD2960" w:rsidRDefault="00DD2960" w:rsidP="00DD2960">
      <w:pPr>
        <w:pStyle w:val="GvdeMetni"/>
        <w:spacing w:line="276" w:lineRule="auto"/>
        <w:ind w:firstLine="709"/>
        <w:jc w:val="both"/>
        <w:rPr>
          <w:sz w:val="24"/>
          <w:szCs w:val="24"/>
        </w:rPr>
      </w:pPr>
      <w:r w:rsidRPr="001573E7">
        <w:rPr>
          <w:sz w:val="24"/>
          <w:szCs w:val="24"/>
        </w:rPr>
        <w:t>Cari Transferler yaklaşık %</w:t>
      </w:r>
      <w:r w:rsidR="00BE1278">
        <w:rPr>
          <w:sz w:val="24"/>
          <w:szCs w:val="24"/>
        </w:rPr>
        <w:t>2,83</w:t>
      </w:r>
      <w:r w:rsidRPr="001573E7">
        <w:rPr>
          <w:sz w:val="24"/>
          <w:szCs w:val="24"/>
        </w:rPr>
        <w:t xml:space="preserve"> oranında artarak </w:t>
      </w:r>
      <w:r w:rsidR="00BE1278">
        <w:rPr>
          <w:sz w:val="24"/>
          <w:szCs w:val="24"/>
        </w:rPr>
        <w:t>180.539.377</w:t>
      </w:r>
      <w:r w:rsidRPr="001573E7">
        <w:rPr>
          <w:sz w:val="24"/>
          <w:szCs w:val="24"/>
        </w:rPr>
        <w:t xml:space="preserve">-TL olarak gerçekleşmiştir. </w:t>
      </w:r>
    </w:p>
    <w:p w:rsidR="00BE1278" w:rsidRPr="001573E7" w:rsidRDefault="00BE1278" w:rsidP="00DD2960">
      <w:pPr>
        <w:pStyle w:val="GvdeMetni"/>
        <w:spacing w:line="276" w:lineRule="auto"/>
        <w:ind w:firstLine="709"/>
        <w:jc w:val="both"/>
        <w:rPr>
          <w:sz w:val="24"/>
          <w:szCs w:val="24"/>
        </w:rPr>
      </w:pPr>
    </w:p>
    <w:p w:rsidR="00DD2960" w:rsidRDefault="00DD2960" w:rsidP="00DD2960">
      <w:pPr>
        <w:pStyle w:val="GvdeMetni"/>
        <w:spacing w:line="276" w:lineRule="auto"/>
        <w:ind w:firstLine="709"/>
        <w:jc w:val="both"/>
        <w:rPr>
          <w:sz w:val="24"/>
          <w:szCs w:val="24"/>
        </w:rPr>
      </w:pPr>
      <w:r w:rsidRPr="001573E7">
        <w:rPr>
          <w:sz w:val="24"/>
          <w:szCs w:val="24"/>
        </w:rPr>
        <w:t>Sermaye Giderleri bir önceki yılın aynı dönemine göre yaklaşık %</w:t>
      </w:r>
      <w:r w:rsidR="00BE1278">
        <w:rPr>
          <w:sz w:val="24"/>
          <w:szCs w:val="24"/>
        </w:rPr>
        <w:t>250,02</w:t>
      </w:r>
      <w:r w:rsidRPr="001573E7">
        <w:rPr>
          <w:sz w:val="24"/>
          <w:szCs w:val="24"/>
        </w:rPr>
        <w:t xml:space="preserve"> oranında artarak </w:t>
      </w:r>
      <w:r w:rsidR="00BE1278">
        <w:rPr>
          <w:sz w:val="24"/>
          <w:szCs w:val="24"/>
        </w:rPr>
        <w:t>11.947.162</w:t>
      </w:r>
      <w:r w:rsidRPr="001573E7">
        <w:rPr>
          <w:sz w:val="24"/>
          <w:szCs w:val="24"/>
        </w:rPr>
        <w:t xml:space="preserve">-TL olarak gerçekleşmiştir. </w:t>
      </w:r>
    </w:p>
    <w:p w:rsidR="00BE1278" w:rsidRDefault="00BE1278" w:rsidP="00DD2960">
      <w:pPr>
        <w:pStyle w:val="GvdeMetni"/>
        <w:spacing w:line="276" w:lineRule="auto"/>
        <w:ind w:firstLine="709"/>
        <w:jc w:val="both"/>
        <w:rPr>
          <w:sz w:val="24"/>
          <w:szCs w:val="24"/>
        </w:rPr>
      </w:pPr>
    </w:p>
    <w:p w:rsidR="00BE1278" w:rsidRDefault="00BE1278" w:rsidP="00DD2960">
      <w:pPr>
        <w:pStyle w:val="GvdeMetni"/>
        <w:spacing w:line="276" w:lineRule="auto"/>
        <w:ind w:firstLine="709"/>
        <w:jc w:val="both"/>
        <w:rPr>
          <w:sz w:val="24"/>
          <w:szCs w:val="24"/>
        </w:rPr>
      </w:pPr>
    </w:p>
    <w:p w:rsidR="00BE1278" w:rsidRPr="001573E7" w:rsidRDefault="00BE1278" w:rsidP="00DD2960">
      <w:pPr>
        <w:pStyle w:val="GvdeMetni"/>
        <w:spacing w:line="276" w:lineRule="auto"/>
        <w:ind w:firstLine="709"/>
        <w:jc w:val="both"/>
        <w:rPr>
          <w:sz w:val="24"/>
          <w:szCs w:val="24"/>
        </w:rPr>
      </w:pPr>
      <w:r w:rsidRPr="001573E7">
        <w:rPr>
          <w:noProof/>
        </w:rPr>
        <w:drawing>
          <wp:inline distT="0" distB="0" distL="0" distR="0" wp14:anchorId="572C28F7" wp14:editId="542C7767">
            <wp:extent cx="5648325" cy="3248025"/>
            <wp:effectExtent l="0" t="0" r="9525" b="9525"/>
            <wp:docPr id="4"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1278" w:rsidRPr="001573E7" w:rsidRDefault="00BE1278" w:rsidP="00BE1278">
      <w:pPr>
        <w:pStyle w:val="GvdeMetni"/>
        <w:spacing w:line="276" w:lineRule="auto"/>
        <w:ind w:firstLine="708"/>
        <w:jc w:val="both"/>
        <w:rPr>
          <w:color w:val="333399"/>
          <w:sz w:val="24"/>
          <w:szCs w:val="24"/>
        </w:rPr>
      </w:pPr>
      <w:r w:rsidRPr="001573E7">
        <w:rPr>
          <w:b/>
          <w:sz w:val="24"/>
          <w:szCs w:val="24"/>
        </w:rPr>
        <w:t>Grafik 4:</w:t>
      </w:r>
      <w:r w:rsidRPr="001573E7">
        <w:rPr>
          <w:sz w:val="24"/>
          <w:szCs w:val="24"/>
        </w:rPr>
        <w:t xml:space="preserve"> 202</w:t>
      </w:r>
      <w:r>
        <w:rPr>
          <w:sz w:val="24"/>
          <w:szCs w:val="24"/>
        </w:rPr>
        <w:t>3</w:t>
      </w:r>
      <w:r w:rsidRPr="001573E7">
        <w:rPr>
          <w:sz w:val="24"/>
          <w:szCs w:val="24"/>
        </w:rPr>
        <w:t>-202</w:t>
      </w:r>
      <w:r>
        <w:rPr>
          <w:sz w:val="24"/>
          <w:szCs w:val="24"/>
        </w:rPr>
        <w:t>4</w:t>
      </w:r>
      <w:r w:rsidRPr="001573E7">
        <w:rPr>
          <w:sz w:val="24"/>
          <w:szCs w:val="24"/>
        </w:rPr>
        <w:t xml:space="preserve"> Yılı Karşılaştırmalı İlk Altı Aylık Bütçe Uygulama Sonuçları</w:t>
      </w:r>
    </w:p>
    <w:p w:rsidR="00BE1278" w:rsidRPr="001573E7" w:rsidRDefault="00BE1278" w:rsidP="00BE1278">
      <w:pPr>
        <w:pStyle w:val="GvdeMetni"/>
        <w:spacing w:line="276" w:lineRule="auto"/>
        <w:ind w:firstLine="709"/>
        <w:jc w:val="both"/>
        <w:rPr>
          <w:sz w:val="24"/>
          <w:szCs w:val="24"/>
        </w:rPr>
      </w:pPr>
    </w:p>
    <w:p w:rsidR="00BE1278" w:rsidRPr="001573E7" w:rsidRDefault="00BE1278" w:rsidP="000A776E">
      <w:pPr>
        <w:pStyle w:val="GvdeMetni"/>
        <w:spacing w:before="120" w:after="120" w:line="276" w:lineRule="auto"/>
        <w:ind w:left="284" w:right="-108" w:firstLine="424"/>
        <w:jc w:val="both"/>
        <w:rPr>
          <w:color w:val="000000" w:themeColor="text1"/>
          <w:sz w:val="24"/>
          <w:szCs w:val="24"/>
        </w:rPr>
      </w:pPr>
      <w:r w:rsidRPr="001573E7">
        <w:rPr>
          <w:color w:val="000000" w:themeColor="text1"/>
          <w:sz w:val="24"/>
          <w:szCs w:val="24"/>
        </w:rPr>
        <w:lastRenderedPageBreak/>
        <w:t>Öte yandan, 2021 yılı ile birlikte performans esaslı program bütçe uygulamasına geçilmiş olması nedeniyle 202</w:t>
      </w:r>
      <w:r w:rsidR="000A776E">
        <w:rPr>
          <w:color w:val="000000" w:themeColor="text1"/>
          <w:sz w:val="24"/>
          <w:szCs w:val="24"/>
        </w:rPr>
        <w:t>4</w:t>
      </w:r>
      <w:r w:rsidRPr="001573E7">
        <w:rPr>
          <w:color w:val="000000" w:themeColor="text1"/>
          <w:sz w:val="24"/>
          <w:szCs w:val="24"/>
        </w:rPr>
        <w:t xml:space="preserve"> yılı Ocak-Haziran dönemi itibarıyla aylık olarak program düzeyinde bütçe gider gerçekleşmelerine ait tablo raporun ekinde yer almaktadır. (EK:3)</w:t>
      </w:r>
    </w:p>
    <w:p w:rsidR="00BE1278" w:rsidRDefault="00BE1278" w:rsidP="000A776E">
      <w:pPr>
        <w:pStyle w:val="GvdeMetni"/>
        <w:spacing w:before="120" w:after="120" w:line="276" w:lineRule="auto"/>
        <w:ind w:left="284" w:right="-108" w:firstLine="424"/>
        <w:jc w:val="both"/>
        <w:rPr>
          <w:sz w:val="24"/>
          <w:szCs w:val="24"/>
        </w:rPr>
      </w:pPr>
      <w:r w:rsidRPr="001573E7">
        <w:rPr>
          <w:sz w:val="24"/>
          <w:szCs w:val="24"/>
        </w:rPr>
        <w:t>Başkanlığımız harcama birimlerinin, 202</w:t>
      </w:r>
      <w:r w:rsidR="000A776E">
        <w:rPr>
          <w:sz w:val="24"/>
          <w:szCs w:val="24"/>
        </w:rPr>
        <w:t>4</w:t>
      </w:r>
      <w:r w:rsidRPr="001573E7">
        <w:rPr>
          <w:sz w:val="24"/>
          <w:szCs w:val="24"/>
        </w:rPr>
        <w:t xml:space="preserve"> yılının ilk altı ayında gerçekleştirdikleri bütçe giderleri ve başlangıç ödeneklerine göre gerçekleşme oranları ise aşağıdaki tabloda gösterildiği şekildedir: </w:t>
      </w:r>
    </w:p>
    <w:tbl>
      <w:tblPr>
        <w:tblpPr w:leftFromText="141" w:rightFromText="141" w:vertAnchor="text" w:tblpY="527"/>
        <w:tblW w:w="9183" w:type="dxa"/>
        <w:tblCellMar>
          <w:left w:w="70" w:type="dxa"/>
          <w:right w:w="70" w:type="dxa"/>
        </w:tblCellMar>
        <w:tblLook w:val="04A0" w:firstRow="1" w:lastRow="0" w:firstColumn="1" w:lastColumn="0" w:noHBand="0" w:noVBand="1"/>
      </w:tblPr>
      <w:tblGrid>
        <w:gridCol w:w="3684"/>
        <w:gridCol w:w="1580"/>
        <w:gridCol w:w="1913"/>
        <w:gridCol w:w="2006"/>
      </w:tblGrid>
      <w:tr w:rsidR="000A776E" w:rsidRPr="006F146C" w:rsidTr="006F146C">
        <w:trPr>
          <w:trHeight w:val="750"/>
        </w:trPr>
        <w:tc>
          <w:tcPr>
            <w:tcW w:w="3684" w:type="dxa"/>
            <w:tcBorders>
              <w:top w:val="single" w:sz="8" w:space="0" w:color="auto"/>
              <w:left w:val="single" w:sz="8" w:space="0" w:color="auto"/>
              <w:bottom w:val="single" w:sz="8" w:space="0" w:color="auto"/>
              <w:right w:val="single" w:sz="8" w:space="0" w:color="auto"/>
            </w:tcBorders>
            <w:noWrap/>
            <w:vAlign w:val="center"/>
            <w:hideMark/>
          </w:tcPr>
          <w:p w:rsidR="000A776E" w:rsidRPr="006F146C" w:rsidRDefault="000A776E" w:rsidP="00F22564">
            <w:pPr>
              <w:spacing w:line="276" w:lineRule="auto"/>
              <w:jc w:val="center"/>
              <w:rPr>
                <w:b/>
                <w:bCs/>
                <w:color w:val="000000" w:themeColor="text1"/>
                <w:sz w:val="20"/>
                <w:szCs w:val="20"/>
              </w:rPr>
            </w:pPr>
            <w:r w:rsidRPr="006F146C">
              <w:rPr>
                <w:b/>
                <w:bCs/>
                <w:color w:val="000000" w:themeColor="text1"/>
                <w:sz w:val="20"/>
                <w:szCs w:val="20"/>
              </w:rPr>
              <w:t>Harcama Birimleri</w:t>
            </w:r>
          </w:p>
        </w:tc>
        <w:tc>
          <w:tcPr>
            <w:tcW w:w="1580" w:type="dxa"/>
            <w:tcBorders>
              <w:top w:val="single" w:sz="8" w:space="0" w:color="auto"/>
              <w:left w:val="nil"/>
              <w:bottom w:val="single" w:sz="8" w:space="0" w:color="auto"/>
              <w:right w:val="single" w:sz="8" w:space="0" w:color="auto"/>
            </w:tcBorders>
            <w:vAlign w:val="center"/>
            <w:hideMark/>
          </w:tcPr>
          <w:p w:rsidR="000A776E" w:rsidRPr="006F146C" w:rsidRDefault="000A776E" w:rsidP="00F22564">
            <w:pPr>
              <w:spacing w:line="276" w:lineRule="auto"/>
              <w:jc w:val="center"/>
              <w:rPr>
                <w:b/>
                <w:bCs/>
                <w:color w:val="000000" w:themeColor="text1"/>
                <w:sz w:val="20"/>
                <w:szCs w:val="20"/>
              </w:rPr>
            </w:pPr>
            <w:r w:rsidRPr="006F146C">
              <w:rPr>
                <w:b/>
                <w:bCs/>
                <w:color w:val="000000" w:themeColor="text1"/>
                <w:sz w:val="20"/>
                <w:szCs w:val="20"/>
              </w:rPr>
              <w:t>Başlangıç Ödeneği (TL)</w:t>
            </w:r>
          </w:p>
        </w:tc>
        <w:tc>
          <w:tcPr>
            <w:tcW w:w="1913" w:type="dxa"/>
            <w:tcBorders>
              <w:top w:val="single" w:sz="8" w:space="0" w:color="auto"/>
              <w:left w:val="nil"/>
              <w:bottom w:val="single" w:sz="8" w:space="0" w:color="auto"/>
              <w:right w:val="single" w:sz="8" w:space="0" w:color="auto"/>
            </w:tcBorders>
            <w:vAlign w:val="center"/>
            <w:hideMark/>
          </w:tcPr>
          <w:p w:rsidR="000A776E" w:rsidRPr="006F146C" w:rsidRDefault="000A776E" w:rsidP="00F22564">
            <w:pPr>
              <w:spacing w:line="276" w:lineRule="auto"/>
              <w:jc w:val="center"/>
              <w:rPr>
                <w:b/>
                <w:bCs/>
                <w:color w:val="000000" w:themeColor="text1"/>
                <w:sz w:val="20"/>
                <w:szCs w:val="20"/>
              </w:rPr>
            </w:pPr>
            <w:r w:rsidRPr="006F146C">
              <w:rPr>
                <w:b/>
                <w:bCs/>
                <w:color w:val="000000" w:themeColor="text1"/>
                <w:sz w:val="20"/>
                <w:szCs w:val="20"/>
              </w:rPr>
              <w:t>Ocak-Haziran Gider Gerçekleşme Tutarı (TL)</w:t>
            </w:r>
          </w:p>
        </w:tc>
        <w:tc>
          <w:tcPr>
            <w:tcW w:w="2006" w:type="dxa"/>
            <w:tcBorders>
              <w:top w:val="single" w:sz="8" w:space="0" w:color="auto"/>
              <w:left w:val="nil"/>
              <w:bottom w:val="single" w:sz="8" w:space="0" w:color="auto"/>
              <w:right w:val="single" w:sz="8" w:space="0" w:color="auto"/>
            </w:tcBorders>
            <w:vAlign w:val="center"/>
            <w:hideMark/>
          </w:tcPr>
          <w:p w:rsidR="000A776E" w:rsidRPr="006F146C" w:rsidRDefault="000A776E" w:rsidP="00F22564">
            <w:pPr>
              <w:spacing w:line="276" w:lineRule="auto"/>
              <w:ind w:right="-84"/>
              <w:jc w:val="center"/>
              <w:rPr>
                <w:b/>
                <w:bCs/>
                <w:color w:val="000000" w:themeColor="text1"/>
                <w:sz w:val="20"/>
                <w:szCs w:val="20"/>
              </w:rPr>
            </w:pPr>
            <w:r w:rsidRPr="006F146C">
              <w:rPr>
                <w:b/>
                <w:bCs/>
                <w:color w:val="000000" w:themeColor="text1"/>
                <w:sz w:val="20"/>
                <w:szCs w:val="20"/>
              </w:rPr>
              <w:t xml:space="preserve">Başlangıç Ödeneğine Göre Gerçekleşme </w:t>
            </w:r>
            <w:proofErr w:type="gramStart"/>
            <w:r w:rsidRPr="006F146C">
              <w:rPr>
                <w:b/>
                <w:bCs/>
                <w:color w:val="000000" w:themeColor="text1"/>
                <w:sz w:val="20"/>
                <w:szCs w:val="20"/>
              </w:rPr>
              <w:t>Oranı(</w:t>
            </w:r>
            <w:proofErr w:type="gramEnd"/>
            <w:r w:rsidRPr="006F146C">
              <w:rPr>
                <w:color w:val="000000" w:themeColor="text1"/>
                <w:sz w:val="20"/>
                <w:szCs w:val="20"/>
              </w:rPr>
              <w:t>%</w:t>
            </w:r>
            <w:r w:rsidRPr="006F146C">
              <w:rPr>
                <w:b/>
                <w:bCs/>
                <w:color w:val="000000" w:themeColor="text1"/>
                <w:sz w:val="20"/>
                <w:szCs w:val="20"/>
              </w:rPr>
              <w:t>)</w:t>
            </w:r>
          </w:p>
        </w:tc>
      </w:tr>
      <w:tr w:rsidR="000A776E" w:rsidRPr="006F146C" w:rsidTr="006F146C">
        <w:trPr>
          <w:trHeight w:val="511"/>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Özel Kalem Müdürlüğü</w:t>
            </w:r>
          </w:p>
        </w:tc>
        <w:tc>
          <w:tcPr>
            <w:tcW w:w="1580" w:type="dxa"/>
            <w:tcBorders>
              <w:top w:val="nil"/>
              <w:left w:val="nil"/>
              <w:bottom w:val="single" w:sz="8" w:space="0" w:color="auto"/>
              <w:right w:val="single" w:sz="8" w:space="0" w:color="auto"/>
            </w:tcBorders>
            <w:noWrap/>
            <w:vAlign w:val="bottom"/>
          </w:tcPr>
          <w:p w:rsidR="000A776E" w:rsidRPr="006F146C" w:rsidRDefault="00F74B82" w:rsidP="00F22564">
            <w:pPr>
              <w:spacing w:line="276" w:lineRule="auto"/>
              <w:jc w:val="right"/>
              <w:rPr>
                <w:b/>
                <w:bCs/>
                <w:color w:val="000000" w:themeColor="text1"/>
                <w:sz w:val="20"/>
                <w:szCs w:val="20"/>
              </w:rPr>
            </w:pPr>
            <w:r w:rsidRPr="006F146C">
              <w:rPr>
                <w:b/>
                <w:bCs/>
                <w:color w:val="000000" w:themeColor="text1"/>
                <w:sz w:val="20"/>
                <w:szCs w:val="20"/>
              </w:rPr>
              <w:t>35.465.000</w:t>
            </w:r>
          </w:p>
        </w:tc>
        <w:tc>
          <w:tcPr>
            <w:tcW w:w="1913" w:type="dxa"/>
            <w:tcBorders>
              <w:top w:val="nil"/>
              <w:left w:val="nil"/>
              <w:bottom w:val="single" w:sz="8" w:space="0" w:color="auto"/>
              <w:right w:val="single" w:sz="8" w:space="0" w:color="auto"/>
            </w:tcBorders>
            <w:noWrap/>
            <w:vAlign w:val="bottom"/>
            <w:hideMark/>
          </w:tcPr>
          <w:p w:rsidR="000A776E" w:rsidRPr="006F146C" w:rsidRDefault="00493947" w:rsidP="00F22564">
            <w:pPr>
              <w:tabs>
                <w:tab w:val="left" w:pos="1099"/>
              </w:tabs>
              <w:spacing w:line="276" w:lineRule="auto"/>
              <w:jc w:val="right"/>
              <w:rPr>
                <w:b/>
                <w:bCs/>
                <w:color w:val="000000" w:themeColor="text1"/>
                <w:sz w:val="20"/>
                <w:szCs w:val="20"/>
              </w:rPr>
            </w:pPr>
            <w:r w:rsidRPr="006F146C">
              <w:rPr>
                <w:b/>
                <w:bCs/>
                <w:color w:val="000000" w:themeColor="text1"/>
                <w:sz w:val="20"/>
                <w:szCs w:val="20"/>
              </w:rPr>
              <w:t>19.881.624,10</w:t>
            </w:r>
          </w:p>
        </w:tc>
        <w:tc>
          <w:tcPr>
            <w:tcW w:w="2006" w:type="dxa"/>
            <w:tcBorders>
              <w:top w:val="nil"/>
              <w:left w:val="nil"/>
              <w:bottom w:val="single" w:sz="8" w:space="0" w:color="auto"/>
              <w:right w:val="single" w:sz="8" w:space="0" w:color="auto"/>
            </w:tcBorders>
            <w:noWrap/>
            <w:vAlign w:val="bottom"/>
          </w:tcPr>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F74B82" w:rsidRPr="006F146C">
              <w:rPr>
                <w:b/>
                <w:color w:val="000000" w:themeColor="text1"/>
                <w:sz w:val="20"/>
                <w:szCs w:val="20"/>
              </w:rPr>
              <w:t>56</w:t>
            </w:r>
          </w:p>
        </w:tc>
      </w:tr>
      <w:tr w:rsidR="000A776E" w:rsidRPr="006F146C" w:rsidTr="006F146C">
        <w:trPr>
          <w:trHeight w:val="369"/>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İç Denetim Birimi</w:t>
            </w:r>
          </w:p>
        </w:tc>
        <w:tc>
          <w:tcPr>
            <w:tcW w:w="1580" w:type="dxa"/>
            <w:tcBorders>
              <w:top w:val="nil"/>
              <w:left w:val="nil"/>
              <w:bottom w:val="single" w:sz="8" w:space="0" w:color="auto"/>
              <w:right w:val="single" w:sz="8" w:space="0" w:color="auto"/>
            </w:tcBorders>
            <w:noWrap/>
            <w:vAlign w:val="bottom"/>
          </w:tcPr>
          <w:p w:rsidR="000A776E" w:rsidRPr="006F146C" w:rsidRDefault="005438F1" w:rsidP="00F22564">
            <w:pPr>
              <w:spacing w:line="276" w:lineRule="auto"/>
              <w:jc w:val="right"/>
              <w:rPr>
                <w:b/>
                <w:bCs/>
                <w:color w:val="000000" w:themeColor="text1"/>
                <w:sz w:val="20"/>
                <w:szCs w:val="20"/>
              </w:rPr>
            </w:pPr>
            <w:r w:rsidRPr="006F146C">
              <w:rPr>
                <w:b/>
                <w:bCs/>
                <w:color w:val="000000" w:themeColor="text1"/>
                <w:sz w:val="20"/>
                <w:szCs w:val="20"/>
              </w:rPr>
              <w:t>4.009.000</w:t>
            </w:r>
          </w:p>
        </w:tc>
        <w:tc>
          <w:tcPr>
            <w:tcW w:w="1913" w:type="dxa"/>
            <w:tcBorders>
              <w:top w:val="nil"/>
              <w:left w:val="nil"/>
              <w:bottom w:val="single" w:sz="8" w:space="0" w:color="auto"/>
              <w:right w:val="single" w:sz="8" w:space="0" w:color="auto"/>
            </w:tcBorders>
            <w:noWrap/>
            <w:vAlign w:val="bottom"/>
            <w:hideMark/>
          </w:tcPr>
          <w:p w:rsidR="000A776E" w:rsidRPr="006F146C" w:rsidRDefault="00493947" w:rsidP="00F22564">
            <w:pPr>
              <w:tabs>
                <w:tab w:val="left" w:pos="1099"/>
              </w:tabs>
              <w:spacing w:line="276" w:lineRule="auto"/>
              <w:jc w:val="right"/>
              <w:rPr>
                <w:b/>
                <w:bCs/>
                <w:color w:val="000000" w:themeColor="text1"/>
                <w:sz w:val="20"/>
                <w:szCs w:val="20"/>
              </w:rPr>
            </w:pPr>
            <w:r w:rsidRPr="006F146C">
              <w:rPr>
                <w:b/>
                <w:bCs/>
                <w:color w:val="000000" w:themeColor="text1"/>
                <w:sz w:val="20"/>
                <w:szCs w:val="20"/>
              </w:rPr>
              <w:t>2.002.058,33</w:t>
            </w:r>
          </w:p>
        </w:tc>
        <w:tc>
          <w:tcPr>
            <w:tcW w:w="2006" w:type="dxa"/>
            <w:tcBorders>
              <w:top w:val="nil"/>
              <w:left w:val="nil"/>
              <w:bottom w:val="single" w:sz="8" w:space="0" w:color="auto"/>
              <w:right w:val="single" w:sz="8" w:space="0" w:color="auto"/>
            </w:tcBorders>
            <w:noWrap/>
            <w:vAlign w:val="bottom"/>
          </w:tcPr>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F74B82" w:rsidRPr="006F146C">
              <w:rPr>
                <w:b/>
                <w:color w:val="000000" w:themeColor="text1"/>
                <w:sz w:val="20"/>
                <w:szCs w:val="20"/>
              </w:rPr>
              <w:t>49</w:t>
            </w:r>
          </w:p>
        </w:tc>
      </w:tr>
      <w:tr w:rsidR="000A776E" w:rsidRPr="006F146C" w:rsidTr="006F146C">
        <w:trPr>
          <w:trHeight w:val="369"/>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Yükseköğretim Denetleme Kurulu</w:t>
            </w:r>
          </w:p>
        </w:tc>
        <w:tc>
          <w:tcPr>
            <w:tcW w:w="1580" w:type="dxa"/>
            <w:tcBorders>
              <w:top w:val="nil"/>
              <w:left w:val="nil"/>
              <w:bottom w:val="single" w:sz="8" w:space="0" w:color="auto"/>
              <w:right w:val="single" w:sz="8" w:space="0" w:color="auto"/>
            </w:tcBorders>
            <w:shd w:val="clear" w:color="auto" w:fill="auto"/>
            <w:noWrap/>
            <w:vAlign w:val="bottom"/>
            <w:hideMark/>
          </w:tcPr>
          <w:p w:rsidR="000A776E" w:rsidRPr="006F146C" w:rsidRDefault="00493947" w:rsidP="00F22564">
            <w:pPr>
              <w:spacing w:line="276" w:lineRule="auto"/>
              <w:jc w:val="right"/>
              <w:rPr>
                <w:b/>
                <w:color w:val="000000" w:themeColor="text1"/>
                <w:sz w:val="20"/>
                <w:szCs w:val="20"/>
              </w:rPr>
            </w:pPr>
            <w:r w:rsidRPr="006F146C">
              <w:rPr>
                <w:b/>
                <w:color w:val="000000" w:themeColor="text1"/>
                <w:sz w:val="20"/>
                <w:szCs w:val="20"/>
              </w:rPr>
              <w:t>156.000</w:t>
            </w:r>
          </w:p>
        </w:tc>
        <w:tc>
          <w:tcPr>
            <w:tcW w:w="1913" w:type="dxa"/>
            <w:tcBorders>
              <w:top w:val="nil"/>
              <w:left w:val="nil"/>
              <w:bottom w:val="single" w:sz="8" w:space="0" w:color="auto"/>
              <w:right w:val="single" w:sz="8" w:space="0" w:color="auto"/>
            </w:tcBorders>
            <w:shd w:val="clear" w:color="auto" w:fill="auto"/>
            <w:noWrap/>
            <w:vAlign w:val="bottom"/>
            <w:hideMark/>
          </w:tcPr>
          <w:p w:rsidR="000A776E" w:rsidRPr="006F146C" w:rsidRDefault="00493947" w:rsidP="00F22564">
            <w:pPr>
              <w:tabs>
                <w:tab w:val="left" w:pos="1099"/>
              </w:tabs>
              <w:spacing w:line="276" w:lineRule="auto"/>
              <w:jc w:val="right"/>
              <w:rPr>
                <w:b/>
                <w:color w:val="000000" w:themeColor="text1"/>
                <w:sz w:val="20"/>
                <w:szCs w:val="20"/>
              </w:rPr>
            </w:pPr>
            <w:r w:rsidRPr="006F146C">
              <w:rPr>
                <w:b/>
                <w:color w:val="000000" w:themeColor="text1"/>
                <w:sz w:val="20"/>
                <w:szCs w:val="20"/>
              </w:rPr>
              <w:t>742.885</w:t>
            </w:r>
          </w:p>
        </w:tc>
        <w:tc>
          <w:tcPr>
            <w:tcW w:w="2006" w:type="dxa"/>
            <w:tcBorders>
              <w:top w:val="nil"/>
              <w:left w:val="nil"/>
              <w:bottom w:val="single" w:sz="8" w:space="0" w:color="auto"/>
              <w:right w:val="single" w:sz="8" w:space="0" w:color="auto"/>
            </w:tcBorders>
            <w:shd w:val="clear" w:color="auto" w:fill="auto"/>
            <w:noWrap/>
            <w:vAlign w:val="bottom"/>
          </w:tcPr>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493947" w:rsidRPr="006F146C">
              <w:rPr>
                <w:b/>
                <w:color w:val="000000" w:themeColor="text1"/>
                <w:sz w:val="20"/>
                <w:szCs w:val="20"/>
              </w:rPr>
              <w:t>476,21</w:t>
            </w:r>
          </w:p>
        </w:tc>
      </w:tr>
      <w:tr w:rsidR="000A776E" w:rsidRPr="006F146C" w:rsidTr="006F146C">
        <w:trPr>
          <w:trHeight w:val="41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b/>
                <w:color w:val="000000" w:themeColor="text1"/>
                <w:sz w:val="20"/>
                <w:szCs w:val="20"/>
              </w:rPr>
            </w:pPr>
            <w:r w:rsidRPr="006F146C">
              <w:rPr>
                <w:b/>
                <w:color w:val="000000" w:themeColor="text1"/>
                <w:sz w:val="20"/>
                <w:szCs w:val="20"/>
              </w:rPr>
              <w:t>Genel Sekreterlik Toplam</w:t>
            </w:r>
          </w:p>
        </w:tc>
        <w:tc>
          <w:tcPr>
            <w:tcW w:w="1580" w:type="dxa"/>
            <w:tcBorders>
              <w:top w:val="nil"/>
              <w:left w:val="nil"/>
              <w:bottom w:val="single" w:sz="8" w:space="0" w:color="auto"/>
              <w:right w:val="single" w:sz="8" w:space="0" w:color="auto"/>
            </w:tcBorders>
            <w:shd w:val="clear" w:color="auto" w:fill="FFFFFF" w:themeFill="background1"/>
            <w:noWrap/>
            <w:vAlign w:val="bottom"/>
            <w:hideMark/>
          </w:tcPr>
          <w:p w:rsidR="000A776E" w:rsidRPr="006F146C" w:rsidRDefault="00795A97" w:rsidP="00F22564">
            <w:pPr>
              <w:spacing w:line="276" w:lineRule="auto"/>
              <w:jc w:val="right"/>
              <w:rPr>
                <w:b/>
                <w:color w:val="000000" w:themeColor="text1"/>
                <w:sz w:val="20"/>
                <w:szCs w:val="20"/>
              </w:rPr>
            </w:pPr>
            <w:r w:rsidRPr="006F146C">
              <w:rPr>
                <w:b/>
                <w:color w:val="000000" w:themeColor="text1"/>
                <w:sz w:val="20"/>
                <w:szCs w:val="20"/>
              </w:rPr>
              <w:t>507.113.000</w:t>
            </w:r>
          </w:p>
        </w:tc>
        <w:tc>
          <w:tcPr>
            <w:tcW w:w="1913" w:type="dxa"/>
            <w:tcBorders>
              <w:top w:val="nil"/>
              <w:left w:val="nil"/>
              <w:bottom w:val="single" w:sz="8" w:space="0" w:color="auto"/>
              <w:right w:val="single" w:sz="8" w:space="0" w:color="auto"/>
            </w:tcBorders>
            <w:shd w:val="clear" w:color="auto" w:fill="FFFFFF" w:themeFill="background1"/>
            <w:noWrap/>
            <w:vAlign w:val="bottom"/>
            <w:hideMark/>
          </w:tcPr>
          <w:p w:rsidR="000A776E" w:rsidRPr="006F146C" w:rsidRDefault="00795A97" w:rsidP="00F22564">
            <w:pPr>
              <w:spacing w:line="276" w:lineRule="auto"/>
              <w:jc w:val="right"/>
              <w:rPr>
                <w:b/>
                <w:bCs/>
                <w:color w:val="000000" w:themeColor="text1"/>
                <w:sz w:val="20"/>
                <w:szCs w:val="20"/>
              </w:rPr>
            </w:pPr>
            <w:r w:rsidRPr="006F146C">
              <w:rPr>
                <w:b/>
                <w:bCs/>
                <w:color w:val="000000" w:themeColor="text1"/>
                <w:sz w:val="20"/>
                <w:szCs w:val="20"/>
              </w:rPr>
              <w:t>435.016.051</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795A97" w:rsidRPr="006F146C">
              <w:rPr>
                <w:b/>
                <w:color w:val="000000" w:themeColor="text1"/>
                <w:sz w:val="20"/>
                <w:szCs w:val="20"/>
              </w:rPr>
              <w:t>85,78</w:t>
            </w:r>
          </w:p>
        </w:tc>
      </w:tr>
      <w:tr w:rsidR="000A776E" w:rsidRPr="006F146C" w:rsidTr="006F146C">
        <w:trPr>
          <w:trHeight w:val="41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 xml:space="preserve">Genel Sekreterlik </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hideMark/>
          </w:tcPr>
          <w:p w:rsidR="000A776E" w:rsidRPr="006F146C" w:rsidRDefault="00493947" w:rsidP="004C280B">
            <w:pPr>
              <w:spacing w:line="276" w:lineRule="auto"/>
              <w:jc w:val="right"/>
              <w:rPr>
                <w:bCs/>
                <w:color w:val="000000" w:themeColor="text1"/>
                <w:sz w:val="20"/>
                <w:szCs w:val="20"/>
              </w:rPr>
            </w:pPr>
            <w:r w:rsidRPr="006F146C">
              <w:rPr>
                <w:bCs/>
                <w:color w:val="000000" w:themeColor="text1"/>
                <w:sz w:val="20"/>
                <w:szCs w:val="20"/>
              </w:rPr>
              <w:t>202.284.792</w:t>
            </w:r>
            <w:r w:rsidR="004C280B" w:rsidRPr="006F146C">
              <w:rPr>
                <w:bCs/>
                <w:color w:val="000000" w:themeColor="text1"/>
                <w:sz w:val="20"/>
                <w:szCs w:val="20"/>
              </w:rPr>
              <w:t>,35</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r>
      <w:tr w:rsidR="000A776E" w:rsidRPr="006F146C" w:rsidTr="006F146C">
        <w:trPr>
          <w:trHeight w:val="41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 xml:space="preserve">Proje Geliştirme ve Destekleme Dairesi Başkanlığı </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93947" w:rsidP="004C280B">
            <w:pPr>
              <w:spacing w:line="276" w:lineRule="auto"/>
              <w:jc w:val="right"/>
              <w:rPr>
                <w:color w:val="000000" w:themeColor="text1"/>
                <w:sz w:val="20"/>
                <w:szCs w:val="20"/>
              </w:rPr>
            </w:pPr>
            <w:r w:rsidRPr="006F146C">
              <w:rPr>
                <w:color w:val="000000" w:themeColor="text1"/>
                <w:sz w:val="20"/>
                <w:szCs w:val="20"/>
              </w:rPr>
              <w:t>100.594.670,81</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r>
      <w:tr w:rsidR="000A776E" w:rsidRPr="006F146C" w:rsidTr="006F146C">
        <w:trPr>
          <w:trHeight w:val="41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İdari ve Mali İşler Daire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93947" w:rsidP="004C280B">
            <w:pPr>
              <w:spacing w:line="276" w:lineRule="auto"/>
              <w:jc w:val="right"/>
              <w:rPr>
                <w:color w:val="000000" w:themeColor="text1"/>
                <w:sz w:val="20"/>
                <w:szCs w:val="20"/>
              </w:rPr>
            </w:pPr>
            <w:r w:rsidRPr="006F146C">
              <w:rPr>
                <w:color w:val="000000" w:themeColor="text1"/>
                <w:sz w:val="20"/>
                <w:szCs w:val="20"/>
              </w:rPr>
              <w:t>45.794.635,76</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color w:val="000000" w:themeColor="text1"/>
                <w:sz w:val="20"/>
                <w:szCs w:val="20"/>
              </w:rPr>
            </w:pPr>
          </w:p>
        </w:tc>
      </w:tr>
      <w:tr w:rsidR="000A776E" w:rsidRPr="006F146C" w:rsidTr="006F146C">
        <w:trPr>
          <w:trHeight w:val="41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İnşaat Bakım Onarım Daire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C280B" w:rsidP="004C280B">
            <w:pPr>
              <w:spacing w:line="276" w:lineRule="auto"/>
              <w:jc w:val="right"/>
              <w:rPr>
                <w:color w:val="000000" w:themeColor="text1"/>
                <w:sz w:val="20"/>
                <w:szCs w:val="20"/>
              </w:rPr>
            </w:pPr>
            <w:r w:rsidRPr="006F146C">
              <w:rPr>
                <w:color w:val="000000" w:themeColor="text1"/>
                <w:sz w:val="20"/>
                <w:szCs w:val="20"/>
              </w:rPr>
              <w:t>1.299.352,38</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595"/>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Bilgi İşlem Dairesi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93947" w:rsidP="004C280B">
            <w:pPr>
              <w:spacing w:line="276" w:lineRule="auto"/>
              <w:jc w:val="right"/>
              <w:rPr>
                <w:bCs/>
                <w:color w:val="000000" w:themeColor="text1"/>
                <w:sz w:val="20"/>
                <w:szCs w:val="20"/>
              </w:rPr>
            </w:pPr>
            <w:r w:rsidRPr="006F146C">
              <w:rPr>
                <w:bCs/>
                <w:color w:val="000000" w:themeColor="text1"/>
                <w:sz w:val="20"/>
                <w:szCs w:val="20"/>
              </w:rPr>
              <w:t>5.217.634</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611"/>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Personel Dairesi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93947" w:rsidP="004C280B">
            <w:pPr>
              <w:tabs>
                <w:tab w:val="left" w:pos="909"/>
              </w:tabs>
              <w:spacing w:line="276" w:lineRule="auto"/>
              <w:jc w:val="right"/>
              <w:rPr>
                <w:color w:val="000000" w:themeColor="text1"/>
                <w:sz w:val="20"/>
                <w:szCs w:val="20"/>
              </w:rPr>
            </w:pPr>
            <w:r w:rsidRPr="006F146C">
              <w:rPr>
                <w:color w:val="000000" w:themeColor="text1"/>
                <w:sz w:val="20"/>
                <w:szCs w:val="20"/>
              </w:rPr>
              <w:t>10.000</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Hukuk Müşavirliği</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hideMark/>
          </w:tcPr>
          <w:p w:rsidR="000A776E" w:rsidRPr="006F146C" w:rsidRDefault="00493947" w:rsidP="004C280B">
            <w:pPr>
              <w:spacing w:line="276" w:lineRule="auto"/>
              <w:jc w:val="right"/>
              <w:rPr>
                <w:color w:val="000000" w:themeColor="text1"/>
                <w:sz w:val="20"/>
                <w:szCs w:val="20"/>
              </w:rPr>
            </w:pPr>
            <w:r w:rsidRPr="006F146C">
              <w:rPr>
                <w:color w:val="000000" w:themeColor="text1"/>
                <w:sz w:val="20"/>
                <w:szCs w:val="20"/>
              </w:rPr>
              <w:t>2.564.846,77</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 xml:space="preserve">Strateji Geliştirme Dairesi Başkanlığı </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hideMark/>
          </w:tcPr>
          <w:p w:rsidR="000A776E"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64.561.026,83</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Uluslararası İlişkiler Dairesi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1.611.610,26</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0A776E"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tcPr>
          <w:p w:rsidR="000A776E" w:rsidRPr="006F146C" w:rsidRDefault="000A776E" w:rsidP="00F22564">
            <w:pPr>
              <w:spacing w:line="276" w:lineRule="auto"/>
              <w:rPr>
                <w:color w:val="000000" w:themeColor="text1"/>
                <w:sz w:val="20"/>
                <w:szCs w:val="20"/>
              </w:rPr>
            </w:pPr>
            <w:r w:rsidRPr="006F146C">
              <w:rPr>
                <w:color w:val="000000" w:themeColor="text1"/>
                <w:sz w:val="20"/>
                <w:szCs w:val="20"/>
              </w:rPr>
              <w:t>Tanıma ve Denklik Hizmetleri Daire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1.472.062,07</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p>
        </w:tc>
      </w:tr>
      <w:tr w:rsidR="004C280B"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tcPr>
          <w:p w:rsidR="004C280B" w:rsidRPr="006F146C" w:rsidRDefault="004C280B" w:rsidP="00F22564">
            <w:pPr>
              <w:spacing w:line="276" w:lineRule="auto"/>
              <w:rPr>
                <w:color w:val="000000" w:themeColor="text1"/>
                <w:sz w:val="20"/>
                <w:szCs w:val="20"/>
              </w:rPr>
            </w:pPr>
            <w:r w:rsidRPr="006F146C">
              <w:rPr>
                <w:color w:val="000000" w:themeColor="text1"/>
                <w:sz w:val="20"/>
                <w:szCs w:val="20"/>
              </w:rPr>
              <w:t>Veri Yönetimi İzleme ve Değerlendirme Dairesi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4.751.633,43</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r>
      <w:tr w:rsidR="004C280B"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tcPr>
          <w:p w:rsidR="004C280B" w:rsidRPr="006F146C" w:rsidRDefault="004C280B" w:rsidP="00F22564">
            <w:pPr>
              <w:spacing w:line="276" w:lineRule="auto"/>
              <w:rPr>
                <w:color w:val="000000" w:themeColor="text1"/>
                <w:sz w:val="20"/>
                <w:szCs w:val="20"/>
              </w:rPr>
            </w:pPr>
            <w:r w:rsidRPr="006F146C">
              <w:rPr>
                <w:color w:val="000000" w:themeColor="text1"/>
                <w:sz w:val="20"/>
                <w:szCs w:val="20"/>
              </w:rPr>
              <w:t>Eğitim-Öğretim Dairesi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50.217,42</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r>
      <w:tr w:rsidR="004C280B" w:rsidRPr="006F146C" w:rsidTr="006F146C">
        <w:trPr>
          <w:trHeight w:val="497"/>
        </w:trPr>
        <w:tc>
          <w:tcPr>
            <w:tcW w:w="3684" w:type="dxa"/>
            <w:tcBorders>
              <w:top w:val="nil"/>
              <w:left w:val="single" w:sz="8" w:space="0" w:color="auto"/>
              <w:bottom w:val="single" w:sz="8" w:space="0" w:color="auto"/>
              <w:right w:val="single" w:sz="8" w:space="0" w:color="auto"/>
            </w:tcBorders>
            <w:noWrap/>
            <w:vAlign w:val="bottom"/>
          </w:tcPr>
          <w:p w:rsidR="004C280B" w:rsidRPr="006F146C" w:rsidRDefault="004C280B" w:rsidP="00F22564">
            <w:pPr>
              <w:spacing w:line="276" w:lineRule="auto"/>
              <w:rPr>
                <w:color w:val="000000" w:themeColor="text1"/>
                <w:sz w:val="20"/>
                <w:szCs w:val="20"/>
              </w:rPr>
            </w:pPr>
            <w:r w:rsidRPr="006F146C">
              <w:rPr>
                <w:color w:val="000000" w:themeColor="text1"/>
                <w:sz w:val="20"/>
                <w:szCs w:val="20"/>
              </w:rPr>
              <w:t>Basın ve Halkla İlişkiler Müşavirliği</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c>
          <w:tcPr>
            <w:tcW w:w="1913"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4C280B">
            <w:pPr>
              <w:tabs>
                <w:tab w:val="left" w:pos="1113"/>
              </w:tabs>
              <w:spacing w:line="276" w:lineRule="auto"/>
              <w:jc w:val="right"/>
              <w:rPr>
                <w:color w:val="000000" w:themeColor="text1"/>
                <w:sz w:val="20"/>
                <w:szCs w:val="20"/>
              </w:rPr>
            </w:pPr>
            <w:r w:rsidRPr="006F146C">
              <w:rPr>
                <w:color w:val="000000" w:themeColor="text1"/>
                <w:sz w:val="20"/>
                <w:szCs w:val="20"/>
              </w:rPr>
              <w:t>4.803.569,07</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4C280B" w:rsidRPr="006F146C" w:rsidRDefault="004C280B" w:rsidP="00F22564">
            <w:pPr>
              <w:spacing w:line="276" w:lineRule="auto"/>
              <w:jc w:val="right"/>
              <w:rPr>
                <w:b/>
                <w:color w:val="000000" w:themeColor="text1"/>
                <w:sz w:val="20"/>
                <w:szCs w:val="20"/>
              </w:rPr>
            </w:pPr>
          </w:p>
        </w:tc>
      </w:tr>
      <w:tr w:rsidR="000A776E" w:rsidRPr="006F146C" w:rsidTr="006F146C">
        <w:trPr>
          <w:trHeight w:val="400"/>
        </w:trPr>
        <w:tc>
          <w:tcPr>
            <w:tcW w:w="3684" w:type="dxa"/>
            <w:tcBorders>
              <w:top w:val="nil"/>
              <w:left w:val="single" w:sz="8" w:space="0" w:color="auto"/>
              <w:bottom w:val="single" w:sz="8" w:space="0" w:color="auto"/>
              <w:right w:val="single" w:sz="8" w:space="0" w:color="auto"/>
            </w:tcBorders>
            <w:noWrap/>
            <w:vAlign w:val="bottom"/>
            <w:hideMark/>
          </w:tcPr>
          <w:p w:rsidR="000A776E" w:rsidRPr="006F146C" w:rsidRDefault="000A776E" w:rsidP="00F22564">
            <w:pPr>
              <w:spacing w:line="276" w:lineRule="auto"/>
              <w:rPr>
                <w:b/>
                <w:color w:val="000000" w:themeColor="text1"/>
                <w:sz w:val="20"/>
                <w:szCs w:val="20"/>
              </w:rPr>
            </w:pPr>
            <w:r w:rsidRPr="006F146C">
              <w:rPr>
                <w:b/>
                <w:color w:val="000000" w:themeColor="text1"/>
                <w:sz w:val="20"/>
                <w:szCs w:val="20"/>
              </w:rPr>
              <w:t>Üniversitelerarası Kurul Başkanlığı</w:t>
            </w:r>
          </w:p>
        </w:tc>
        <w:tc>
          <w:tcPr>
            <w:tcW w:w="1580"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795A97" w:rsidP="00F22564">
            <w:pPr>
              <w:spacing w:line="276" w:lineRule="auto"/>
              <w:jc w:val="right"/>
              <w:rPr>
                <w:b/>
                <w:color w:val="000000" w:themeColor="text1"/>
                <w:sz w:val="20"/>
                <w:szCs w:val="20"/>
              </w:rPr>
            </w:pPr>
            <w:r w:rsidRPr="006F146C">
              <w:rPr>
                <w:b/>
                <w:color w:val="000000" w:themeColor="text1"/>
                <w:sz w:val="20"/>
                <w:szCs w:val="20"/>
              </w:rPr>
              <w:t>237.932.000</w:t>
            </w:r>
          </w:p>
        </w:tc>
        <w:tc>
          <w:tcPr>
            <w:tcW w:w="1913"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795A97" w:rsidP="00F22564">
            <w:pPr>
              <w:tabs>
                <w:tab w:val="left" w:pos="954"/>
              </w:tabs>
              <w:spacing w:line="276" w:lineRule="auto"/>
              <w:jc w:val="right"/>
              <w:rPr>
                <w:b/>
                <w:color w:val="000000" w:themeColor="text1"/>
                <w:sz w:val="20"/>
                <w:szCs w:val="20"/>
              </w:rPr>
            </w:pPr>
            <w:r w:rsidRPr="006F146C">
              <w:rPr>
                <w:b/>
                <w:color w:val="000000" w:themeColor="text1"/>
                <w:sz w:val="20"/>
                <w:szCs w:val="20"/>
              </w:rPr>
              <w:t>163.641.798</w:t>
            </w:r>
          </w:p>
        </w:tc>
        <w:tc>
          <w:tcPr>
            <w:tcW w:w="2006" w:type="dxa"/>
            <w:tcBorders>
              <w:top w:val="nil"/>
              <w:left w:val="nil"/>
              <w:bottom w:val="single" w:sz="8" w:space="0" w:color="auto"/>
              <w:right w:val="single" w:sz="8" w:space="0" w:color="auto"/>
            </w:tcBorders>
            <w:shd w:val="clear" w:color="auto" w:fill="FFFFFF" w:themeFill="background1"/>
            <w:noWrap/>
            <w:vAlign w:val="bottom"/>
          </w:tcPr>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795A97" w:rsidRPr="006F146C">
              <w:rPr>
                <w:b/>
                <w:color w:val="000000" w:themeColor="text1"/>
                <w:sz w:val="20"/>
                <w:szCs w:val="20"/>
              </w:rPr>
              <w:t>68,78</w:t>
            </w:r>
          </w:p>
        </w:tc>
      </w:tr>
      <w:tr w:rsidR="000A776E" w:rsidRPr="006F146C" w:rsidTr="006F146C">
        <w:trPr>
          <w:trHeight w:val="578"/>
        </w:trPr>
        <w:tc>
          <w:tcPr>
            <w:tcW w:w="3684" w:type="dxa"/>
            <w:tcBorders>
              <w:top w:val="single" w:sz="4" w:space="0" w:color="auto"/>
              <w:left w:val="single" w:sz="4" w:space="0" w:color="auto"/>
              <w:bottom w:val="single" w:sz="4" w:space="0" w:color="auto"/>
              <w:right w:val="single" w:sz="4" w:space="0" w:color="auto"/>
            </w:tcBorders>
            <w:noWrap/>
            <w:vAlign w:val="bottom"/>
            <w:hideMark/>
          </w:tcPr>
          <w:p w:rsidR="000A776E" w:rsidRPr="006F146C" w:rsidRDefault="000A776E" w:rsidP="00F22564">
            <w:pPr>
              <w:spacing w:line="276" w:lineRule="auto"/>
              <w:rPr>
                <w:b/>
                <w:color w:val="000000" w:themeColor="text1"/>
                <w:sz w:val="20"/>
                <w:szCs w:val="20"/>
              </w:rPr>
            </w:pPr>
            <w:r w:rsidRPr="006F146C">
              <w:rPr>
                <w:b/>
                <w:color w:val="000000" w:themeColor="text1"/>
                <w:sz w:val="20"/>
                <w:szCs w:val="20"/>
              </w:rPr>
              <w:t>GENEL TOPLAM</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0A776E" w:rsidRPr="006F146C" w:rsidRDefault="00795A97" w:rsidP="00F22564">
            <w:pPr>
              <w:spacing w:line="276" w:lineRule="auto"/>
              <w:jc w:val="right"/>
              <w:rPr>
                <w:b/>
                <w:bCs/>
                <w:color w:val="000000" w:themeColor="text1"/>
                <w:sz w:val="20"/>
                <w:szCs w:val="20"/>
              </w:rPr>
            </w:pPr>
            <w:r w:rsidRPr="006F146C">
              <w:rPr>
                <w:b/>
                <w:bCs/>
                <w:color w:val="000000" w:themeColor="text1"/>
                <w:sz w:val="20"/>
                <w:szCs w:val="20"/>
              </w:rPr>
              <w:t>784.675.000</w:t>
            </w:r>
          </w:p>
        </w:tc>
        <w:tc>
          <w:tcPr>
            <w:tcW w:w="1913" w:type="dxa"/>
            <w:tcBorders>
              <w:top w:val="single" w:sz="4" w:space="0" w:color="auto"/>
              <w:left w:val="nil"/>
              <w:bottom w:val="single" w:sz="4" w:space="0" w:color="auto"/>
              <w:right w:val="single" w:sz="4" w:space="0" w:color="auto"/>
            </w:tcBorders>
            <w:shd w:val="clear" w:color="auto" w:fill="auto"/>
            <w:noWrap/>
            <w:vAlign w:val="bottom"/>
          </w:tcPr>
          <w:p w:rsidR="000A776E" w:rsidRPr="006F146C" w:rsidRDefault="00795A97" w:rsidP="00F22564">
            <w:pPr>
              <w:spacing w:line="276" w:lineRule="auto"/>
              <w:jc w:val="right"/>
              <w:rPr>
                <w:b/>
                <w:color w:val="000000" w:themeColor="text1"/>
                <w:sz w:val="20"/>
                <w:szCs w:val="20"/>
              </w:rPr>
            </w:pPr>
            <w:r w:rsidRPr="006F146C">
              <w:rPr>
                <w:b/>
                <w:color w:val="000000" w:themeColor="text1"/>
                <w:sz w:val="20"/>
                <w:szCs w:val="20"/>
              </w:rPr>
              <w:t>621.284.416</w:t>
            </w:r>
          </w:p>
        </w:tc>
        <w:tc>
          <w:tcPr>
            <w:tcW w:w="2006" w:type="dxa"/>
            <w:tcBorders>
              <w:top w:val="single" w:sz="4" w:space="0" w:color="auto"/>
              <w:left w:val="nil"/>
              <w:bottom w:val="single" w:sz="4" w:space="0" w:color="auto"/>
              <w:right w:val="single" w:sz="4" w:space="0" w:color="auto"/>
            </w:tcBorders>
            <w:shd w:val="clear" w:color="auto" w:fill="auto"/>
            <w:noWrap/>
            <w:vAlign w:val="bottom"/>
          </w:tcPr>
          <w:p w:rsidR="000A776E" w:rsidRPr="006F146C" w:rsidRDefault="000A776E" w:rsidP="00F22564">
            <w:pPr>
              <w:spacing w:line="276" w:lineRule="auto"/>
              <w:jc w:val="right"/>
              <w:rPr>
                <w:b/>
                <w:color w:val="000000" w:themeColor="text1"/>
                <w:sz w:val="20"/>
                <w:szCs w:val="20"/>
              </w:rPr>
            </w:pPr>
            <w:r w:rsidRPr="006F146C">
              <w:rPr>
                <w:b/>
                <w:color w:val="000000" w:themeColor="text1"/>
                <w:sz w:val="20"/>
                <w:szCs w:val="20"/>
              </w:rPr>
              <w:t>%</w:t>
            </w:r>
            <w:r w:rsidR="00795A97" w:rsidRPr="006F146C">
              <w:rPr>
                <w:b/>
                <w:color w:val="000000" w:themeColor="text1"/>
                <w:sz w:val="20"/>
                <w:szCs w:val="20"/>
              </w:rPr>
              <w:t>79,18</w:t>
            </w:r>
          </w:p>
        </w:tc>
      </w:tr>
    </w:tbl>
    <w:p w:rsidR="000A776E" w:rsidRPr="001573E7" w:rsidRDefault="000A776E" w:rsidP="000A776E">
      <w:pPr>
        <w:pStyle w:val="GvdeMetni"/>
        <w:spacing w:before="120" w:after="120" w:line="276" w:lineRule="auto"/>
        <w:ind w:left="284" w:right="-108" w:firstLine="424"/>
        <w:jc w:val="both"/>
        <w:rPr>
          <w:sz w:val="24"/>
          <w:szCs w:val="24"/>
        </w:rPr>
      </w:pPr>
    </w:p>
    <w:p w:rsidR="00DD2960" w:rsidRDefault="00DD2960" w:rsidP="000A776E">
      <w:pPr>
        <w:spacing w:line="276" w:lineRule="auto"/>
        <w:ind w:firstLine="360"/>
        <w:jc w:val="both"/>
      </w:pPr>
    </w:p>
    <w:p w:rsidR="006E4B83" w:rsidRDefault="006E4B83" w:rsidP="00743DA7">
      <w:pPr>
        <w:spacing w:line="276" w:lineRule="auto"/>
        <w:jc w:val="both"/>
      </w:pPr>
    </w:p>
    <w:p w:rsidR="00743DA7" w:rsidRDefault="00743DA7" w:rsidP="00743DA7">
      <w:pPr>
        <w:spacing w:line="276" w:lineRule="auto"/>
        <w:jc w:val="both"/>
      </w:pPr>
    </w:p>
    <w:p w:rsidR="006E4B83" w:rsidRPr="006E4B83" w:rsidRDefault="006E4B83" w:rsidP="006E4B83">
      <w:pPr>
        <w:pStyle w:val="ListeParagraf"/>
        <w:numPr>
          <w:ilvl w:val="0"/>
          <w:numId w:val="2"/>
        </w:numPr>
        <w:spacing w:line="276" w:lineRule="auto"/>
        <w:jc w:val="both"/>
        <w:rPr>
          <w:b/>
        </w:rPr>
      </w:pPr>
      <w:r w:rsidRPr="006E4B83">
        <w:rPr>
          <w:b/>
        </w:rPr>
        <w:t>BÜTÇE GELİRLERİ</w:t>
      </w:r>
    </w:p>
    <w:p w:rsidR="006E4B83" w:rsidRDefault="006E4B83" w:rsidP="006E4B83">
      <w:pPr>
        <w:spacing w:line="276" w:lineRule="auto"/>
        <w:jc w:val="both"/>
      </w:pPr>
    </w:p>
    <w:p w:rsidR="006E4B83" w:rsidRDefault="006E4B83" w:rsidP="006E4B83">
      <w:pPr>
        <w:spacing w:line="276" w:lineRule="auto"/>
        <w:jc w:val="both"/>
      </w:pPr>
    </w:p>
    <w:p w:rsidR="006E4B83" w:rsidRPr="001573E7" w:rsidRDefault="006E4B83" w:rsidP="006E4B83">
      <w:pPr>
        <w:pStyle w:val="GvdeMetni"/>
        <w:spacing w:before="120" w:after="120" w:line="276" w:lineRule="auto"/>
        <w:ind w:right="-2" w:firstLine="360"/>
        <w:jc w:val="both"/>
        <w:rPr>
          <w:color w:val="000000" w:themeColor="text1"/>
          <w:sz w:val="24"/>
          <w:szCs w:val="24"/>
        </w:rPr>
      </w:pPr>
      <w:r w:rsidRPr="001573E7">
        <w:rPr>
          <w:sz w:val="24"/>
          <w:szCs w:val="24"/>
        </w:rPr>
        <w:t>202</w:t>
      </w:r>
      <w:r>
        <w:rPr>
          <w:sz w:val="24"/>
          <w:szCs w:val="24"/>
        </w:rPr>
        <w:t>4</w:t>
      </w:r>
      <w:r w:rsidRPr="001573E7">
        <w:rPr>
          <w:sz w:val="24"/>
          <w:szCs w:val="24"/>
        </w:rPr>
        <w:t xml:space="preserve"> Mali yılı Ocak-Haziran dönemi itibariyle bütçe gelirleri toplam </w:t>
      </w:r>
      <w:r>
        <w:rPr>
          <w:sz w:val="24"/>
          <w:szCs w:val="24"/>
        </w:rPr>
        <w:t>987.145.716</w:t>
      </w:r>
      <w:r w:rsidRPr="001573E7">
        <w:rPr>
          <w:sz w:val="24"/>
          <w:szCs w:val="24"/>
        </w:rPr>
        <w:t xml:space="preserve">-TL olarak gerçekleşmiş olup, aynı döneme ait ekonomik sınıflandırmanın ikinci düzeyinde yer alan </w:t>
      </w:r>
      <w:r w:rsidRPr="001573E7">
        <w:rPr>
          <w:color w:val="000000" w:themeColor="text1"/>
          <w:sz w:val="24"/>
          <w:szCs w:val="24"/>
        </w:rPr>
        <w:t>gelir grupları itibariyle bütçeye yansıyan gerçekleşme rakamları ve gelirlerin gelişimine ait tablo raporun ekinde yer almaktadır. (EK: 2)</w:t>
      </w:r>
    </w:p>
    <w:p w:rsidR="006E4B83" w:rsidRDefault="006E4B83" w:rsidP="006E4B83">
      <w:pPr>
        <w:pStyle w:val="GvdeMetni"/>
        <w:spacing w:before="120" w:after="120" w:line="276" w:lineRule="auto"/>
        <w:ind w:right="-2" w:firstLine="360"/>
        <w:jc w:val="both"/>
        <w:rPr>
          <w:sz w:val="24"/>
          <w:szCs w:val="24"/>
        </w:rPr>
      </w:pPr>
      <w:r w:rsidRPr="001573E7">
        <w:rPr>
          <w:sz w:val="24"/>
          <w:szCs w:val="24"/>
        </w:rPr>
        <w:t>Altı aylık gelirlerimizin en önemli kısmı</w:t>
      </w:r>
      <w:r w:rsidRPr="001573E7">
        <w:rPr>
          <w:rFonts w:eastAsia="Calibri"/>
          <w:sz w:val="24"/>
          <w:szCs w:val="24"/>
        </w:rPr>
        <w:t xml:space="preserve">, </w:t>
      </w:r>
      <w:r w:rsidRPr="001573E7">
        <w:rPr>
          <w:sz w:val="24"/>
          <w:szCs w:val="24"/>
        </w:rPr>
        <w:t xml:space="preserve">2547 sayılı Yükseköğretim Kanununun ek 44 üncü maddesinde yer alan </w:t>
      </w:r>
      <w:r w:rsidRPr="001573E7">
        <w:rPr>
          <w:i/>
          <w:sz w:val="24"/>
          <w:szCs w:val="24"/>
        </w:rPr>
        <w:t xml:space="preserve">“Açık öğretim hizmeti veren yükseköğretim kurumlarının döner sermaye işletmelerinin açık öğretim fakültelerine ait alt hesaplarında oluşan gelirler münhasıran bu faaliyetlerin gerektirdiği giderlerde kullanılır ve bu hesaplarda üçer aylık dönemler itibarıyla oluşacak gelir fazlalarının yüzde 80’i her üç ayda bir izleyen ayın </w:t>
      </w:r>
      <w:proofErr w:type="spellStart"/>
      <w:r w:rsidRPr="001573E7">
        <w:rPr>
          <w:i/>
          <w:sz w:val="24"/>
          <w:szCs w:val="24"/>
        </w:rPr>
        <w:t>onbeşine</w:t>
      </w:r>
      <w:proofErr w:type="spellEnd"/>
      <w:r w:rsidRPr="001573E7">
        <w:rPr>
          <w:i/>
          <w:sz w:val="24"/>
          <w:szCs w:val="24"/>
        </w:rPr>
        <w:t xml:space="preserve"> kadar Yükseköğretim Kurulu Başkanlığı muhasebe birimi hesabına aktarılır</w:t>
      </w:r>
      <w:r w:rsidRPr="001573E7">
        <w:rPr>
          <w:sz w:val="24"/>
          <w:szCs w:val="24"/>
        </w:rPr>
        <w:t xml:space="preserve">.” hükmü gereği, Başkanlığımız hesaplarına aktarılan tutarlardan oluşturmaktadır. </w:t>
      </w:r>
    </w:p>
    <w:p w:rsidR="006E4B83" w:rsidRDefault="006E4B83" w:rsidP="006E4B83">
      <w:pPr>
        <w:pStyle w:val="GvdeMetni"/>
        <w:spacing w:before="120" w:after="120" w:line="276" w:lineRule="auto"/>
        <w:ind w:right="-2" w:firstLine="360"/>
        <w:jc w:val="both"/>
        <w:rPr>
          <w:sz w:val="24"/>
          <w:szCs w:val="24"/>
        </w:rPr>
      </w:pPr>
      <w:r w:rsidRPr="001573E7">
        <w:rPr>
          <w:sz w:val="24"/>
          <w:szCs w:val="24"/>
        </w:rPr>
        <w:t>202</w:t>
      </w:r>
      <w:r>
        <w:rPr>
          <w:sz w:val="24"/>
          <w:szCs w:val="24"/>
        </w:rPr>
        <w:t>4</w:t>
      </w:r>
      <w:r w:rsidRPr="001573E7">
        <w:rPr>
          <w:sz w:val="24"/>
          <w:szCs w:val="24"/>
        </w:rPr>
        <w:t xml:space="preserve"> yılı içerisinde Merkezi Yönetim Bütçe Kanunu ile Başkanlığımıza </w:t>
      </w:r>
      <w:r>
        <w:rPr>
          <w:sz w:val="24"/>
          <w:szCs w:val="24"/>
        </w:rPr>
        <w:t>784.675.000</w:t>
      </w:r>
      <w:r w:rsidRPr="001573E7">
        <w:rPr>
          <w:sz w:val="24"/>
          <w:szCs w:val="24"/>
        </w:rPr>
        <w:t>-TL gelir planlaması yapılmıştır.</w:t>
      </w:r>
    </w:p>
    <w:p w:rsidR="00EB0B5C" w:rsidRDefault="00EB0B5C" w:rsidP="006E4B83">
      <w:pPr>
        <w:pStyle w:val="GvdeMetni"/>
        <w:spacing w:before="120" w:after="120" w:line="276" w:lineRule="auto"/>
        <w:ind w:right="-2" w:firstLine="360"/>
        <w:jc w:val="both"/>
        <w:rPr>
          <w:sz w:val="24"/>
          <w:szCs w:val="24"/>
        </w:rPr>
      </w:pPr>
    </w:p>
    <w:p w:rsidR="00EB0B5C" w:rsidRDefault="00EB0B5C" w:rsidP="006E4B83">
      <w:pPr>
        <w:pStyle w:val="GvdeMetni"/>
        <w:spacing w:before="120" w:after="120" w:line="276" w:lineRule="auto"/>
        <w:ind w:right="-2" w:firstLine="360"/>
        <w:jc w:val="both"/>
        <w:rPr>
          <w:b/>
          <w:sz w:val="24"/>
          <w:szCs w:val="24"/>
        </w:rPr>
      </w:pPr>
    </w:p>
    <w:p w:rsidR="00EB0B5C" w:rsidRPr="00EB0B5C" w:rsidRDefault="00EB0B5C" w:rsidP="00EB0B5C">
      <w:pPr>
        <w:pStyle w:val="GvdeMetni"/>
        <w:numPr>
          <w:ilvl w:val="0"/>
          <w:numId w:val="2"/>
        </w:numPr>
        <w:spacing w:before="120" w:after="120" w:line="276" w:lineRule="auto"/>
        <w:ind w:right="-2"/>
        <w:jc w:val="both"/>
        <w:rPr>
          <w:b/>
          <w:sz w:val="24"/>
          <w:szCs w:val="24"/>
        </w:rPr>
      </w:pPr>
      <w:r>
        <w:rPr>
          <w:b/>
          <w:sz w:val="24"/>
          <w:szCs w:val="24"/>
        </w:rPr>
        <w:t>FİNANSMAN</w:t>
      </w:r>
    </w:p>
    <w:p w:rsidR="00EB0B5C" w:rsidRDefault="00EB0B5C" w:rsidP="00EB0B5C">
      <w:pPr>
        <w:pStyle w:val="GvdeMetni"/>
        <w:spacing w:before="120" w:after="120" w:line="276" w:lineRule="auto"/>
        <w:ind w:right="-2"/>
        <w:jc w:val="both"/>
        <w:rPr>
          <w:b/>
          <w:sz w:val="24"/>
          <w:szCs w:val="24"/>
        </w:rPr>
      </w:pPr>
    </w:p>
    <w:p w:rsidR="00EB0B5C" w:rsidRDefault="00EB0B5C" w:rsidP="00EB0B5C">
      <w:pPr>
        <w:pStyle w:val="GvdeMetni"/>
        <w:spacing w:before="120" w:after="120" w:line="276" w:lineRule="auto"/>
        <w:ind w:right="-2" w:firstLine="360"/>
        <w:jc w:val="both"/>
        <w:rPr>
          <w:color w:val="000000" w:themeColor="text1"/>
          <w:sz w:val="24"/>
          <w:szCs w:val="24"/>
        </w:rPr>
      </w:pPr>
      <w:r w:rsidRPr="001573E7">
        <w:rPr>
          <w:sz w:val="24"/>
          <w:szCs w:val="24"/>
        </w:rPr>
        <w:t xml:space="preserve">Kurulumuz 5018 sayılı Kanuna ekli II sayılı cetvelde yer alan özel bütçeli bir kurum olması sebebiyle bütçe giderlerinin tamamına yakını Merkezi Yönetim Bütçesinden alınan hazine yardımları ile </w:t>
      </w:r>
      <w:r w:rsidRPr="001573E7">
        <w:rPr>
          <w:color w:val="000000" w:themeColor="text1"/>
          <w:sz w:val="24"/>
          <w:szCs w:val="24"/>
        </w:rPr>
        <w:t>karşılanmaktadır. 202</w:t>
      </w:r>
      <w:r>
        <w:rPr>
          <w:color w:val="000000" w:themeColor="text1"/>
          <w:sz w:val="24"/>
          <w:szCs w:val="24"/>
        </w:rPr>
        <w:t>4</w:t>
      </w:r>
      <w:r w:rsidRPr="001573E7">
        <w:rPr>
          <w:color w:val="000000" w:themeColor="text1"/>
          <w:sz w:val="24"/>
          <w:szCs w:val="24"/>
        </w:rPr>
        <w:t xml:space="preserve"> yılı ilk altı aylık dönemde Kurulumuza ait giderlerimizi finanse etmek amacıyla önceki yıldan devreden likit fazlası, 2547 sayılı Yükseköğretim Kanununun ek </w:t>
      </w:r>
      <w:proofErr w:type="gramStart"/>
      <w:r w:rsidRPr="001573E7">
        <w:rPr>
          <w:color w:val="000000" w:themeColor="text1"/>
          <w:sz w:val="24"/>
          <w:szCs w:val="24"/>
        </w:rPr>
        <w:t>44 üncü</w:t>
      </w:r>
      <w:proofErr w:type="gramEnd"/>
      <w:r w:rsidRPr="001573E7">
        <w:rPr>
          <w:color w:val="000000" w:themeColor="text1"/>
          <w:sz w:val="24"/>
          <w:szCs w:val="24"/>
        </w:rPr>
        <w:t xml:space="preserve"> maddesinde yer alan gelirler ve 202</w:t>
      </w:r>
      <w:r>
        <w:rPr>
          <w:color w:val="000000" w:themeColor="text1"/>
          <w:sz w:val="24"/>
          <w:szCs w:val="24"/>
        </w:rPr>
        <w:t>4</w:t>
      </w:r>
      <w:r w:rsidRPr="001573E7">
        <w:rPr>
          <w:color w:val="000000" w:themeColor="text1"/>
          <w:sz w:val="24"/>
          <w:szCs w:val="24"/>
        </w:rPr>
        <w:t xml:space="preserve"> Yılı Merkezi Yönetim Bütçe Kanununa ekli “E Cetveli” 53 üncü maddesinde belirtilen kaynaklar kullanılmıştır.</w:t>
      </w:r>
    </w:p>
    <w:p w:rsidR="00EB0B5C" w:rsidRDefault="00EB0B5C" w:rsidP="00EB0B5C">
      <w:pPr>
        <w:pStyle w:val="GvdeMetni"/>
        <w:spacing w:before="120" w:after="120" w:line="276" w:lineRule="auto"/>
        <w:ind w:right="-2" w:firstLine="360"/>
        <w:jc w:val="both"/>
        <w:rPr>
          <w:color w:val="000000" w:themeColor="text1"/>
          <w:sz w:val="24"/>
          <w:szCs w:val="24"/>
        </w:rPr>
      </w:pPr>
    </w:p>
    <w:p w:rsidR="00EB0B5C" w:rsidRDefault="00EB0B5C" w:rsidP="00EB0B5C">
      <w:pPr>
        <w:pStyle w:val="GvdeMetni"/>
        <w:spacing w:before="120" w:after="120" w:line="276" w:lineRule="auto"/>
        <w:ind w:right="-2" w:firstLine="360"/>
        <w:jc w:val="both"/>
        <w:rPr>
          <w:color w:val="000000" w:themeColor="text1"/>
          <w:sz w:val="24"/>
          <w:szCs w:val="24"/>
        </w:rPr>
      </w:pPr>
    </w:p>
    <w:p w:rsidR="00EB0B5C" w:rsidRDefault="00EB0B5C" w:rsidP="00EB0B5C">
      <w:pPr>
        <w:pStyle w:val="GvdeMetni"/>
        <w:numPr>
          <w:ilvl w:val="0"/>
          <w:numId w:val="1"/>
        </w:numPr>
        <w:spacing w:before="120" w:after="120" w:line="276" w:lineRule="auto"/>
        <w:ind w:right="-2"/>
        <w:jc w:val="both"/>
        <w:rPr>
          <w:b/>
          <w:color w:val="000000" w:themeColor="text1"/>
          <w:sz w:val="24"/>
          <w:szCs w:val="24"/>
        </w:rPr>
      </w:pPr>
      <w:r>
        <w:rPr>
          <w:b/>
          <w:color w:val="000000" w:themeColor="text1"/>
          <w:sz w:val="24"/>
          <w:szCs w:val="24"/>
        </w:rPr>
        <w:t>OCAK-HAZİRAN 2024 DÖNEMİNDE YÜRÜTÜLEN FAALİYETLER</w:t>
      </w:r>
    </w:p>
    <w:p w:rsidR="00EB0B5C" w:rsidRDefault="00EB0B5C" w:rsidP="00EB0B5C">
      <w:pPr>
        <w:pStyle w:val="GvdeMetni"/>
        <w:spacing w:before="120" w:after="120" w:line="276" w:lineRule="auto"/>
        <w:ind w:right="-2"/>
        <w:jc w:val="both"/>
        <w:rPr>
          <w:b/>
          <w:color w:val="000000" w:themeColor="text1"/>
          <w:sz w:val="24"/>
          <w:szCs w:val="24"/>
        </w:rPr>
      </w:pPr>
    </w:p>
    <w:p w:rsidR="00EB0B5C" w:rsidRDefault="00EB0B5C" w:rsidP="00EB0B5C">
      <w:pPr>
        <w:pStyle w:val="GvdeMetni"/>
        <w:spacing w:before="120" w:after="120" w:line="312" w:lineRule="auto"/>
        <w:ind w:right="-2" w:firstLine="360"/>
        <w:jc w:val="both"/>
        <w:rPr>
          <w:sz w:val="24"/>
          <w:szCs w:val="24"/>
        </w:rPr>
      </w:pPr>
      <w:r w:rsidRPr="001573E7">
        <w:rPr>
          <w:sz w:val="24"/>
          <w:szCs w:val="24"/>
        </w:rPr>
        <w:t>Yükseköğretim Kurulu, 2547 sayılı Kanunda belirlenen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kurumsal anlamda yürütülen faaliyetler ile Başkanlığımız tarafından desteklenen burs ödemelerine bu dönem içerisinde de devam edilmiştir.</w:t>
      </w:r>
    </w:p>
    <w:p w:rsidR="00EB0B5C" w:rsidRDefault="00EB0B5C" w:rsidP="00EB0B5C">
      <w:pPr>
        <w:pStyle w:val="GvdeMetni"/>
        <w:spacing w:before="120" w:after="120" w:line="312" w:lineRule="auto"/>
        <w:ind w:right="-2"/>
        <w:jc w:val="both"/>
        <w:rPr>
          <w:sz w:val="24"/>
          <w:szCs w:val="24"/>
        </w:rPr>
      </w:pPr>
    </w:p>
    <w:p w:rsidR="00EB0B5C" w:rsidRDefault="00EB0B5C" w:rsidP="00EB0B5C">
      <w:pPr>
        <w:pStyle w:val="GvdeMetni"/>
        <w:numPr>
          <w:ilvl w:val="0"/>
          <w:numId w:val="1"/>
        </w:numPr>
        <w:spacing w:before="120" w:after="120" w:line="312" w:lineRule="auto"/>
        <w:ind w:right="-2"/>
        <w:jc w:val="both"/>
        <w:rPr>
          <w:b/>
          <w:sz w:val="24"/>
          <w:szCs w:val="24"/>
        </w:rPr>
      </w:pPr>
      <w:r>
        <w:rPr>
          <w:b/>
          <w:sz w:val="24"/>
          <w:szCs w:val="24"/>
        </w:rPr>
        <w:lastRenderedPageBreak/>
        <w:t>TEMMUZ-ARALIK 2024 DÖNEMİNE İLİŞKİN BEKLENTİLER VE HEDEFLER</w:t>
      </w:r>
    </w:p>
    <w:p w:rsidR="00EB0B5C" w:rsidRDefault="00EB0B5C" w:rsidP="00EB0B5C">
      <w:pPr>
        <w:pStyle w:val="GvdeMetni"/>
        <w:spacing w:before="120" w:after="120" w:line="312" w:lineRule="auto"/>
        <w:ind w:right="-2"/>
        <w:jc w:val="both"/>
        <w:rPr>
          <w:b/>
          <w:sz w:val="24"/>
          <w:szCs w:val="24"/>
        </w:rPr>
      </w:pPr>
    </w:p>
    <w:p w:rsidR="00EB0B5C" w:rsidRDefault="00EB0B5C" w:rsidP="00EB0B5C">
      <w:pPr>
        <w:pStyle w:val="GvdeMetni"/>
        <w:numPr>
          <w:ilvl w:val="0"/>
          <w:numId w:val="3"/>
        </w:numPr>
        <w:spacing w:before="120" w:after="120" w:line="312" w:lineRule="auto"/>
        <w:ind w:right="-2"/>
        <w:jc w:val="both"/>
        <w:rPr>
          <w:b/>
          <w:sz w:val="24"/>
          <w:szCs w:val="24"/>
        </w:rPr>
      </w:pPr>
      <w:r>
        <w:rPr>
          <w:b/>
          <w:sz w:val="24"/>
          <w:szCs w:val="24"/>
        </w:rPr>
        <w:t>BÜTÇE GİDERLERİ</w:t>
      </w:r>
    </w:p>
    <w:p w:rsidR="00EB0B5C" w:rsidRDefault="00EB0B5C" w:rsidP="00EB0B5C">
      <w:pPr>
        <w:pStyle w:val="GvdeMetni"/>
        <w:spacing w:before="120" w:after="120" w:line="312" w:lineRule="auto"/>
        <w:ind w:right="-2"/>
        <w:jc w:val="both"/>
        <w:rPr>
          <w:b/>
          <w:sz w:val="24"/>
          <w:szCs w:val="24"/>
        </w:rPr>
      </w:pPr>
    </w:p>
    <w:p w:rsidR="00EB0B5C" w:rsidRPr="001573E7" w:rsidRDefault="00EB0B5C" w:rsidP="00EB0B5C">
      <w:pPr>
        <w:pStyle w:val="GvdeMetni"/>
        <w:spacing w:before="120" w:after="120" w:line="312" w:lineRule="auto"/>
        <w:ind w:right="-2" w:firstLine="708"/>
        <w:jc w:val="both"/>
        <w:rPr>
          <w:sz w:val="24"/>
          <w:szCs w:val="24"/>
        </w:rPr>
      </w:pPr>
      <w:r w:rsidRPr="001573E7">
        <w:rPr>
          <w:sz w:val="24"/>
          <w:szCs w:val="24"/>
        </w:rPr>
        <w:t>Kurulumuz 202</w:t>
      </w:r>
      <w:r>
        <w:rPr>
          <w:sz w:val="24"/>
          <w:szCs w:val="24"/>
        </w:rPr>
        <w:t>4</w:t>
      </w:r>
      <w:r w:rsidRPr="001573E7">
        <w:rPr>
          <w:sz w:val="24"/>
          <w:szCs w:val="24"/>
        </w:rPr>
        <w:t xml:space="preserve"> Mali yılı Temmuz-Aralık döneminde </w:t>
      </w:r>
      <w:proofErr w:type="gramStart"/>
      <w:r w:rsidRPr="001573E7">
        <w:rPr>
          <w:sz w:val="24"/>
          <w:szCs w:val="24"/>
        </w:rPr>
        <w:t>de,</w:t>
      </w:r>
      <w:proofErr w:type="gramEnd"/>
      <w:r w:rsidRPr="001573E7">
        <w:rPr>
          <w:sz w:val="24"/>
          <w:szCs w:val="24"/>
        </w:rPr>
        <w:t xml:space="preserve"> yukarıda açıklanan sebepler göz önünde bulundurulduğunda, rapor ekinde yer alan EK 1 ve EK 2 </w:t>
      </w:r>
      <w:proofErr w:type="spellStart"/>
      <w:r w:rsidRPr="001573E7">
        <w:rPr>
          <w:sz w:val="24"/>
          <w:szCs w:val="24"/>
        </w:rPr>
        <w:t>nolu</w:t>
      </w:r>
      <w:proofErr w:type="spellEnd"/>
      <w:r w:rsidRPr="001573E7">
        <w:rPr>
          <w:sz w:val="24"/>
          <w:szCs w:val="24"/>
        </w:rPr>
        <w:t xml:space="preserve"> tablolarda gösterilen ilk altı aylık gelir ve gider gelişimlerinde büyük bir farklılık göstermeyeceği tahmin edilmektedir. </w:t>
      </w:r>
    </w:p>
    <w:p w:rsidR="00EB0B5C" w:rsidRPr="001573E7" w:rsidRDefault="00EB0B5C" w:rsidP="00EB0B5C">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 xml:space="preserve">2547 sayılı Yükseköğretim Kanununun ek </w:t>
      </w:r>
      <w:r w:rsidR="007E55E8" w:rsidRPr="001573E7">
        <w:rPr>
          <w:color w:val="000000" w:themeColor="text1"/>
          <w:sz w:val="24"/>
          <w:szCs w:val="24"/>
        </w:rPr>
        <w:t>44’üncü</w:t>
      </w:r>
      <w:r w:rsidRPr="001573E7">
        <w:rPr>
          <w:color w:val="000000" w:themeColor="text1"/>
          <w:sz w:val="24"/>
          <w:szCs w:val="24"/>
        </w:rPr>
        <w:t xml:space="preserve"> maddesi gereğince </w:t>
      </w:r>
      <w:proofErr w:type="spellStart"/>
      <w:r w:rsidRPr="001573E7">
        <w:rPr>
          <w:color w:val="000000" w:themeColor="text1"/>
          <w:sz w:val="24"/>
          <w:szCs w:val="24"/>
        </w:rPr>
        <w:t>Açıköğretim</w:t>
      </w:r>
      <w:proofErr w:type="spellEnd"/>
      <w:r w:rsidRPr="001573E7">
        <w:rPr>
          <w:color w:val="000000" w:themeColor="text1"/>
          <w:sz w:val="24"/>
          <w:szCs w:val="24"/>
        </w:rPr>
        <w:t xml:space="preserve"> hizmeti veren yükseköğretim kurumlarının Döner Sermaye İşletmelerinden Kurulumuza kaynak aktarımı yapılacak olup söz konusu gelirler, YÖK Destek Bursu, Yabancı Uyruklu Öğrenci Bursu ve 100/2000 Doktora Bursları kapsamında kullanılacaktır. </w:t>
      </w:r>
    </w:p>
    <w:p w:rsidR="00EB0B5C" w:rsidRPr="001573E7" w:rsidRDefault="00EB0B5C" w:rsidP="00EB0B5C">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 xml:space="preserve">Diğer taraftan Kurulumuz ana hizmet faaliyetlerini yerine getirirken </w:t>
      </w:r>
      <w:r w:rsidR="007E55E8" w:rsidRPr="001573E7">
        <w:rPr>
          <w:color w:val="000000" w:themeColor="text1"/>
          <w:sz w:val="24"/>
          <w:szCs w:val="24"/>
        </w:rPr>
        <w:t>beşerî</w:t>
      </w:r>
      <w:r w:rsidRPr="001573E7">
        <w:rPr>
          <w:color w:val="000000" w:themeColor="text1"/>
          <w:sz w:val="24"/>
          <w:szCs w:val="24"/>
        </w:rPr>
        <w:t xml:space="preserve"> ve zorunlu ihtiyaçların karşılanmasına yönelik olarak mal ve hizmet alımları ile yapım işlerine devam edilecektir.</w:t>
      </w:r>
    </w:p>
    <w:p w:rsidR="00EB0B5C" w:rsidRDefault="00EB0B5C" w:rsidP="00EB0B5C">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Kurulumuz tarafından bilişim projelerinin yürütülmesi ile öğrenci ve öğretim elemanı veri tabanlarının ve bilişim üst yapısının (YÖKSİS) kapasitesinin güçlendirilmesine yönelik giderlerin karşılanmasına bu dönemde de devam edilecektir.</w:t>
      </w:r>
    </w:p>
    <w:p w:rsidR="00560F72" w:rsidRDefault="00560F72" w:rsidP="00EB0B5C">
      <w:pPr>
        <w:pStyle w:val="GvdeMetni"/>
        <w:spacing w:before="120" w:after="120" w:line="312" w:lineRule="auto"/>
        <w:ind w:right="-2" w:firstLine="708"/>
        <w:jc w:val="both"/>
        <w:rPr>
          <w:color w:val="000000" w:themeColor="text1"/>
          <w:sz w:val="24"/>
          <w:szCs w:val="24"/>
        </w:rPr>
      </w:pPr>
    </w:p>
    <w:p w:rsidR="00560F72" w:rsidRDefault="00560F72" w:rsidP="00560F72">
      <w:pPr>
        <w:pStyle w:val="GvdeMetni"/>
        <w:numPr>
          <w:ilvl w:val="0"/>
          <w:numId w:val="3"/>
        </w:numPr>
        <w:spacing w:before="120" w:after="120" w:line="312" w:lineRule="auto"/>
        <w:ind w:right="-2"/>
        <w:jc w:val="both"/>
        <w:rPr>
          <w:b/>
          <w:color w:val="000000" w:themeColor="text1"/>
          <w:sz w:val="24"/>
          <w:szCs w:val="24"/>
        </w:rPr>
      </w:pPr>
      <w:r>
        <w:rPr>
          <w:b/>
          <w:color w:val="000000" w:themeColor="text1"/>
          <w:sz w:val="24"/>
          <w:szCs w:val="24"/>
        </w:rPr>
        <w:t>BÜTÇE GELİRLERİ</w:t>
      </w:r>
    </w:p>
    <w:p w:rsidR="00560F72" w:rsidRDefault="00560F72" w:rsidP="00560F72">
      <w:pPr>
        <w:pStyle w:val="GvdeMetni"/>
        <w:spacing w:before="120" w:after="120" w:line="312" w:lineRule="auto"/>
        <w:ind w:right="-2"/>
        <w:jc w:val="both"/>
        <w:rPr>
          <w:b/>
          <w:color w:val="000000" w:themeColor="text1"/>
          <w:sz w:val="24"/>
          <w:szCs w:val="24"/>
        </w:rPr>
      </w:pPr>
    </w:p>
    <w:p w:rsidR="00560F72" w:rsidRDefault="00560F72" w:rsidP="00560F72">
      <w:pPr>
        <w:pStyle w:val="GvdeMetni"/>
        <w:spacing w:before="120" w:after="120" w:line="312" w:lineRule="auto"/>
        <w:ind w:right="-2" w:firstLine="360"/>
        <w:jc w:val="both"/>
        <w:rPr>
          <w:sz w:val="24"/>
          <w:szCs w:val="24"/>
        </w:rPr>
      </w:pPr>
      <w:r w:rsidRPr="001573E7">
        <w:rPr>
          <w:sz w:val="24"/>
          <w:szCs w:val="24"/>
        </w:rPr>
        <w:t>202</w:t>
      </w:r>
      <w:r>
        <w:rPr>
          <w:sz w:val="24"/>
          <w:szCs w:val="24"/>
        </w:rPr>
        <w:t>4</w:t>
      </w:r>
      <w:r w:rsidRPr="001573E7">
        <w:rPr>
          <w:sz w:val="24"/>
          <w:szCs w:val="24"/>
        </w:rPr>
        <w:t xml:space="preserve"> Mali yılı Temmuz-Aralık dönemi itibarı ile Merkezi Yönetim Bütçe Kanunu ile tahsisi beklenen toplam </w:t>
      </w:r>
      <w:r>
        <w:rPr>
          <w:sz w:val="24"/>
          <w:szCs w:val="24"/>
        </w:rPr>
        <w:t>784.675.000</w:t>
      </w:r>
      <w:r w:rsidRPr="001573E7">
        <w:rPr>
          <w:sz w:val="24"/>
          <w:szCs w:val="24"/>
        </w:rPr>
        <w:t>-TL gelir gerçekleşmesi hedeflenmektedir.</w:t>
      </w:r>
    </w:p>
    <w:p w:rsidR="00560F72" w:rsidRDefault="00560F72" w:rsidP="00560F72">
      <w:pPr>
        <w:pStyle w:val="GvdeMetni"/>
        <w:spacing w:before="120" w:after="120" w:line="312" w:lineRule="auto"/>
        <w:ind w:right="-2"/>
        <w:jc w:val="both"/>
        <w:rPr>
          <w:sz w:val="24"/>
          <w:szCs w:val="24"/>
        </w:rPr>
      </w:pPr>
    </w:p>
    <w:p w:rsidR="00560F72" w:rsidRDefault="00560F72" w:rsidP="00560F72">
      <w:pPr>
        <w:pStyle w:val="GvdeMetni"/>
        <w:numPr>
          <w:ilvl w:val="0"/>
          <w:numId w:val="3"/>
        </w:numPr>
        <w:spacing w:before="120" w:after="120" w:line="312" w:lineRule="auto"/>
        <w:ind w:right="-2"/>
        <w:jc w:val="both"/>
        <w:rPr>
          <w:b/>
          <w:sz w:val="24"/>
          <w:szCs w:val="24"/>
        </w:rPr>
      </w:pPr>
      <w:r>
        <w:rPr>
          <w:b/>
          <w:sz w:val="24"/>
          <w:szCs w:val="24"/>
        </w:rPr>
        <w:t>FİNANSMAN</w:t>
      </w:r>
    </w:p>
    <w:p w:rsidR="00560F72" w:rsidRDefault="00560F72" w:rsidP="00560F72">
      <w:pPr>
        <w:pStyle w:val="GvdeMetni"/>
        <w:spacing w:before="120" w:after="120" w:line="312" w:lineRule="auto"/>
        <w:ind w:right="-2"/>
        <w:jc w:val="both"/>
        <w:rPr>
          <w:b/>
          <w:sz w:val="24"/>
          <w:szCs w:val="24"/>
        </w:rPr>
      </w:pPr>
    </w:p>
    <w:p w:rsidR="00560F72" w:rsidRDefault="00560F72" w:rsidP="00560F72">
      <w:pPr>
        <w:pStyle w:val="GvdeMetni"/>
        <w:spacing w:before="120" w:after="120" w:line="312" w:lineRule="auto"/>
        <w:ind w:right="-2" w:firstLine="708"/>
        <w:jc w:val="both"/>
        <w:rPr>
          <w:rFonts w:eastAsia="Calibri"/>
          <w:color w:val="000000" w:themeColor="text1"/>
          <w:sz w:val="24"/>
          <w:szCs w:val="24"/>
        </w:rPr>
      </w:pPr>
      <w:r w:rsidRPr="001573E7">
        <w:rPr>
          <w:color w:val="000000" w:themeColor="text1"/>
          <w:sz w:val="24"/>
          <w:szCs w:val="24"/>
        </w:rPr>
        <w:t>202</w:t>
      </w:r>
      <w:r>
        <w:rPr>
          <w:color w:val="000000" w:themeColor="text1"/>
          <w:sz w:val="24"/>
          <w:szCs w:val="24"/>
        </w:rPr>
        <w:t>4</w:t>
      </w:r>
      <w:r w:rsidRPr="001573E7">
        <w:rPr>
          <w:color w:val="000000" w:themeColor="text1"/>
          <w:sz w:val="24"/>
          <w:szCs w:val="24"/>
        </w:rPr>
        <w:t xml:space="preserve"> yılı ikinci altı aylık döneminde Kurulumuz bütçe giderlerinin tamamına yakını Merkezi Yönetim Bütçesinden alınan hazine yardımları ile karşılanacaktır. Ancak, Başkanlığımızca yürütülen Burs Destek Programlarına ait harcamalar, 2547 sayılı Yükseköğretim Kanununun ek 44’üncü maddesinde yer alan gelirlerden</w:t>
      </w:r>
      <w:r>
        <w:rPr>
          <w:color w:val="000000" w:themeColor="text1"/>
          <w:sz w:val="24"/>
          <w:szCs w:val="24"/>
        </w:rPr>
        <w:t xml:space="preserve"> </w:t>
      </w:r>
      <w:r w:rsidRPr="001573E7">
        <w:rPr>
          <w:rFonts w:eastAsia="Calibri"/>
          <w:color w:val="000000" w:themeColor="text1"/>
          <w:sz w:val="24"/>
          <w:szCs w:val="24"/>
        </w:rPr>
        <w:t>gelir fazlası karşılığı ödenek ekleme suretiyle karşılanacaktır.</w:t>
      </w:r>
    </w:p>
    <w:p w:rsidR="00560F72" w:rsidRDefault="00560F72" w:rsidP="00560F72">
      <w:pPr>
        <w:pStyle w:val="GvdeMetni"/>
        <w:spacing w:before="120" w:after="120" w:line="312" w:lineRule="auto"/>
        <w:ind w:right="-2"/>
        <w:jc w:val="both"/>
        <w:rPr>
          <w:rFonts w:eastAsia="Calibri"/>
          <w:color w:val="000000" w:themeColor="text1"/>
          <w:sz w:val="24"/>
          <w:szCs w:val="24"/>
        </w:rPr>
      </w:pPr>
    </w:p>
    <w:p w:rsidR="00560F72" w:rsidRDefault="00560F72" w:rsidP="00560F72">
      <w:pPr>
        <w:pStyle w:val="GvdeMetni"/>
        <w:numPr>
          <w:ilvl w:val="0"/>
          <w:numId w:val="1"/>
        </w:numPr>
        <w:spacing w:before="120" w:after="120" w:line="312" w:lineRule="auto"/>
        <w:ind w:right="-2"/>
        <w:jc w:val="both"/>
        <w:rPr>
          <w:rFonts w:eastAsia="Calibri"/>
          <w:b/>
          <w:color w:val="000000" w:themeColor="text1"/>
          <w:sz w:val="24"/>
          <w:szCs w:val="24"/>
        </w:rPr>
      </w:pPr>
      <w:r>
        <w:rPr>
          <w:rFonts w:eastAsia="Calibri"/>
          <w:b/>
          <w:color w:val="000000" w:themeColor="text1"/>
          <w:sz w:val="24"/>
          <w:szCs w:val="24"/>
        </w:rPr>
        <w:lastRenderedPageBreak/>
        <w:t>TEMMUZ-ARALIK 2024 DÖNEMİNDE YÜRÜTÜLECEK FAALİYETLER</w:t>
      </w:r>
    </w:p>
    <w:p w:rsidR="00560F72" w:rsidRDefault="00560F72" w:rsidP="00560F72">
      <w:pPr>
        <w:pStyle w:val="GvdeMetni"/>
        <w:spacing w:before="120" w:after="120" w:line="312" w:lineRule="auto"/>
        <w:ind w:right="-2"/>
        <w:jc w:val="both"/>
        <w:rPr>
          <w:rFonts w:eastAsia="Calibri"/>
          <w:b/>
          <w:color w:val="000000" w:themeColor="text1"/>
          <w:sz w:val="24"/>
          <w:szCs w:val="24"/>
        </w:rPr>
      </w:pPr>
    </w:p>
    <w:p w:rsidR="00560F72" w:rsidRDefault="00560F72" w:rsidP="00560F72">
      <w:pPr>
        <w:pStyle w:val="GvdeMetni"/>
        <w:spacing w:before="120" w:after="120" w:line="312" w:lineRule="auto"/>
        <w:ind w:right="-2" w:firstLine="360"/>
        <w:jc w:val="both"/>
        <w:rPr>
          <w:sz w:val="24"/>
          <w:szCs w:val="24"/>
        </w:rPr>
      </w:pPr>
      <w:r w:rsidRPr="001573E7">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560F72" w:rsidRDefault="00560F72" w:rsidP="00560F72">
      <w:pPr>
        <w:pStyle w:val="GvdeMetni"/>
        <w:spacing w:before="120" w:after="120" w:line="312" w:lineRule="auto"/>
        <w:ind w:right="-2" w:firstLine="360"/>
        <w:jc w:val="both"/>
        <w:rPr>
          <w:sz w:val="24"/>
          <w:szCs w:val="24"/>
        </w:rPr>
      </w:pPr>
      <w:r w:rsidRPr="001573E7">
        <w:rPr>
          <w:sz w:val="24"/>
          <w:szCs w:val="24"/>
        </w:rPr>
        <w:t>Kamuoyunun bilgisine sunulur.</w:t>
      </w:r>
    </w:p>
    <w:p w:rsidR="00560F72" w:rsidRDefault="00560F72" w:rsidP="00560F72">
      <w:pPr>
        <w:pStyle w:val="GvdeMetni"/>
        <w:spacing w:before="120" w:after="120" w:line="312" w:lineRule="auto"/>
        <w:ind w:right="-2" w:firstLine="360"/>
        <w:jc w:val="both"/>
        <w:rPr>
          <w:sz w:val="24"/>
          <w:szCs w:val="24"/>
        </w:rPr>
      </w:pPr>
    </w:p>
    <w:p w:rsidR="00560F72" w:rsidRPr="001573E7" w:rsidRDefault="00560F72" w:rsidP="00560F72">
      <w:pPr>
        <w:pStyle w:val="GvdeMetni"/>
        <w:spacing w:before="120" w:after="120" w:line="312" w:lineRule="auto"/>
        <w:ind w:right="-2" w:firstLine="360"/>
        <w:jc w:val="both"/>
        <w:rPr>
          <w:sz w:val="24"/>
          <w:szCs w:val="24"/>
        </w:rPr>
      </w:pPr>
    </w:p>
    <w:p w:rsidR="00560F72" w:rsidRDefault="00560F72" w:rsidP="00560F72">
      <w:pPr>
        <w:pStyle w:val="GvdeMetni"/>
        <w:spacing w:before="120" w:after="120" w:line="312" w:lineRule="auto"/>
        <w:ind w:right="-2" w:firstLine="360"/>
        <w:jc w:val="both"/>
        <w:rPr>
          <w:sz w:val="24"/>
          <w:szCs w:val="24"/>
        </w:rPr>
      </w:pPr>
      <w:r w:rsidRPr="00560F72">
        <w:rPr>
          <w:b/>
          <w:sz w:val="24"/>
          <w:szCs w:val="24"/>
        </w:rPr>
        <w:t>EK:</w:t>
      </w:r>
      <w:r w:rsidRPr="001573E7">
        <w:rPr>
          <w:sz w:val="24"/>
          <w:szCs w:val="24"/>
        </w:rPr>
        <w:t xml:space="preserve"> </w:t>
      </w:r>
    </w:p>
    <w:p w:rsidR="00560F72" w:rsidRDefault="00560F72" w:rsidP="00560F72">
      <w:pPr>
        <w:pStyle w:val="GvdeMetni"/>
        <w:numPr>
          <w:ilvl w:val="0"/>
          <w:numId w:val="4"/>
        </w:numPr>
        <w:spacing w:before="120" w:after="120" w:line="312" w:lineRule="auto"/>
        <w:ind w:right="-2"/>
        <w:jc w:val="both"/>
        <w:rPr>
          <w:sz w:val="24"/>
          <w:szCs w:val="24"/>
        </w:rPr>
      </w:pPr>
      <w:r w:rsidRPr="001573E7">
        <w:rPr>
          <w:sz w:val="24"/>
          <w:szCs w:val="24"/>
        </w:rPr>
        <w:t xml:space="preserve">Bütçe Giderlerinin Gelişimi Tablosu </w:t>
      </w:r>
    </w:p>
    <w:p w:rsidR="00560F72" w:rsidRDefault="00560F72" w:rsidP="00560F72">
      <w:pPr>
        <w:pStyle w:val="GvdeMetni"/>
        <w:numPr>
          <w:ilvl w:val="0"/>
          <w:numId w:val="4"/>
        </w:numPr>
        <w:spacing w:before="120" w:after="120" w:line="312" w:lineRule="auto"/>
        <w:ind w:right="-2"/>
        <w:jc w:val="both"/>
        <w:rPr>
          <w:sz w:val="24"/>
          <w:szCs w:val="24"/>
        </w:rPr>
      </w:pPr>
      <w:r w:rsidRPr="001573E7">
        <w:rPr>
          <w:sz w:val="24"/>
          <w:szCs w:val="24"/>
        </w:rPr>
        <w:t>Bütçe Gelirlerinin Gelişimi Tablosu</w:t>
      </w:r>
      <w:r>
        <w:rPr>
          <w:sz w:val="24"/>
          <w:szCs w:val="24"/>
        </w:rPr>
        <w:t xml:space="preserve"> </w:t>
      </w:r>
    </w:p>
    <w:p w:rsidR="00560F72" w:rsidRPr="00AA2AEA" w:rsidRDefault="00560F72" w:rsidP="00560F72">
      <w:pPr>
        <w:pStyle w:val="GvdeMetni"/>
        <w:numPr>
          <w:ilvl w:val="0"/>
          <w:numId w:val="4"/>
        </w:numPr>
        <w:spacing w:before="120" w:after="120" w:line="312" w:lineRule="auto"/>
        <w:ind w:right="-2"/>
        <w:jc w:val="both"/>
        <w:rPr>
          <w:sz w:val="24"/>
          <w:szCs w:val="24"/>
        </w:rPr>
      </w:pPr>
      <w:bookmarkStart w:id="0" w:name="_GoBack"/>
      <w:r w:rsidRPr="001573E7">
        <w:rPr>
          <w:sz w:val="24"/>
          <w:szCs w:val="24"/>
        </w:rPr>
        <w:t>Program Sınıflandırmasına Göre Bütçe Giderlerinin Gelişimi</w:t>
      </w:r>
    </w:p>
    <w:bookmarkEnd w:id="0"/>
    <w:p w:rsidR="00560F72" w:rsidRPr="00560F72" w:rsidRDefault="00560F72" w:rsidP="00560F72">
      <w:pPr>
        <w:pStyle w:val="GvdeMetni"/>
        <w:spacing w:before="120" w:after="120" w:line="312" w:lineRule="auto"/>
        <w:ind w:right="-2"/>
        <w:jc w:val="both"/>
        <w:rPr>
          <w:rFonts w:eastAsia="Calibri"/>
          <w:color w:val="000000" w:themeColor="text1"/>
          <w:sz w:val="24"/>
          <w:szCs w:val="24"/>
        </w:rPr>
      </w:pPr>
    </w:p>
    <w:p w:rsidR="00560F72" w:rsidRDefault="00560F72" w:rsidP="00560F72">
      <w:pPr>
        <w:pStyle w:val="GvdeMetni"/>
        <w:spacing w:before="120" w:after="120" w:line="312" w:lineRule="auto"/>
        <w:ind w:right="-2"/>
        <w:jc w:val="both"/>
        <w:rPr>
          <w:rFonts w:eastAsia="Calibri"/>
          <w:b/>
          <w:color w:val="000000" w:themeColor="text1"/>
          <w:sz w:val="24"/>
          <w:szCs w:val="24"/>
        </w:rPr>
      </w:pPr>
    </w:p>
    <w:p w:rsidR="00560F72" w:rsidRPr="00560F72" w:rsidRDefault="00560F72" w:rsidP="00560F72">
      <w:pPr>
        <w:pStyle w:val="GvdeMetni"/>
        <w:spacing w:before="120" w:after="120" w:line="312" w:lineRule="auto"/>
        <w:ind w:right="-2"/>
        <w:jc w:val="both"/>
        <w:rPr>
          <w:rFonts w:eastAsia="Calibri"/>
          <w:b/>
          <w:color w:val="000000" w:themeColor="text1"/>
          <w:sz w:val="24"/>
          <w:szCs w:val="24"/>
        </w:rPr>
      </w:pPr>
    </w:p>
    <w:p w:rsidR="00560F72" w:rsidRPr="00560F72" w:rsidRDefault="00560F72" w:rsidP="00560F72">
      <w:pPr>
        <w:pStyle w:val="GvdeMetni"/>
        <w:spacing w:before="120" w:after="120" w:line="312" w:lineRule="auto"/>
        <w:ind w:right="-2" w:firstLine="360"/>
        <w:jc w:val="both"/>
        <w:rPr>
          <w:b/>
          <w:sz w:val="24"/>
          <w:szCs w:val="24"/>
        </w:rPr>
      </w:pPr>
    </w:p>
    <w:p w:rsidR="00560F72" w:rsidRPr="00560F72" w:rsidRDefault="00560F72" w:rsidP="00560F72">
      <w:pPr>
        <w:pStyle w:val="GvdeMetni"/>
        <w:spacing w:before="120" w:after="120" w:line="312" w:lineRule="auto"/>
        <w:ind w:right="-2"/>
        <w:jc w:val="both"/>
        <w:rPr>
          <w:color w:val="000000" w:themeColor="text1"/>
          <w:sz w:val="24"/>
          <w:szCs w:val="24"/>
        </w:rPr>
      </w:pPr>
    </w:p>
    <w:p w:rsidR="00EB0B5C" w:rsidRPr="00EB0B5C" w:rsidRDefault="00EB0B5C" w:rsidP="00EB0B5C">
      <w:pPr>
        <w:pStyle w:val="GvdeMetni"/>
        <w:spacing w:before="120" w:after="120" w:line="312" w:lineRule="auto"/>
        <w:ind w:right="-2"/>
        <w:jc w:val="both"/>
        <w:rPr>
          <w:b/>
          <w:sz w:val="24"/>
          <w:szCs w:val="24"/>
        </w:rPr>
      </w:pPr>
    </w:p>
    <w:p w:rsidR="00EB0B5C" w:rsidRPr="00EB0B5C" w:rsidRDefault="00EB0B5C" w:rsidP="00EB0B5C">
      <w:pPr>
        <w:pStyle w:val="GvdeMetni"/>
        <w:spacing w:before="120" w:after="120" w:line="276" w:lineRule="auto"/>
        <w:ind w:right="-2"/>
        <w:jc w:val="both"/>
        <w:rPr>
          <w:b/>
          <w:color w:val="000000" w:themeColor="text1"/>
          <w:sz w:val="24"/>
          <w:szCs w:val="24"/>
        </w:rPr>
      </w:pPr>
    </w:p>
    <w:p w:rsidR="00EB0B5C" w:rsidRPr="001573E7" w:rsidRDefault="00EB0B5C" w:rsidP="00EB0B5C">
      <w:pPr>
        <w:pStyle w:val="GvdeMetni"/>
        <w:spacing w:before="120" w:after="120" w:line="276" w:lineRule="auto"/>
        <w:ind w:left="360" w:right="-2"/>
        <w:jc w:val="both"/>
        <w:rPr>
          <w:b/>
          <w:sz w:val="24"/>
          <w:szCs w:val="24"/>
        </w:rPr>
      </w:pPr>
    </w:p>
    <w:p w:rsidR="006E4B83" w:rsidRPr="001359C9" w:rsidRDefault="006E4B83" w:rsidP="006E4B83">
      <w:pPr>
        <w:spacing w:line="276" w:lineRule="auto"/>
        <w:jc w:val="both"/>
      </w:pPr>
    </w:p>
    <w:sectPr w:rsidR="006E4B83" w:rsidRPr="001359C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931" w:rsidRDefault="007E1931" w:rsidP="00560F72">
      <w:r>
        <w:separator/>
      </w:r>
    </w:p>
  </w:endnote>
  <w:endnote w:type="continuationSeparator" w:id="0">
    <w:p w:rsidR="007E1931" w:rsidRDefault="007E1931" w:rsidP="0056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49812"/>
      <w:docPartObj>
        <w:docPartGallery w:val="Page Numbers (Bottom of Page)"/>
        <w:docPartUnique/>
      </w:docPartObj>
    </w:sdtPr>
    <w:sdtEndPr/>
    <w:sdtContent>
      <w:p w:rsidR="00560F72" w:rsidRDefault="00560F72">
        <w:pPr>
          <w:pStyle w:val="AltBilgi"/>
          <w:jc w:val="right"/>
        </w:pPr>
        <w:r>
          <w:fldChar w:fldCharType="begin"/>
        </w:r>
        <w:r>
          <w:instrText>PAGE   \* MERGEFORMAT</w:instrText>
        </w:r>
        <w:r>
          <w:fldChar w:fldCharType="separate"/>
        </w:r>
        <w:r>
          <w:t>2</w:t>
        </w:r>
        <w:r>
          <w:fldChar w:fldCharType="end"/>
        </w:r>
      </w:p>
    </w:sdtContent>
  </w:sdt>
  <w:p w:rsidR="00560F72" w:rsidRDefault="00560F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931" w:rsidRDefault="007E1931" w:rsidP="00560F72">
      <w:r>
        <w:separator/>
      </w:r>
    </w:p>
  </w:footnote>
  <w:footnote w:type="continuationSeparator" w:id="0">
    <w:p w:rsidR="007E1931" w:rsidRDefault="007E1931" w:rsidP="0056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75FB5"/>
    <w:multiLevelType w:val="hybridMultilevel"/>
    <w:tmpl w:val="D1262A12"/>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4E316B1"/>
    <w:multiLevelType w:val="hybridMultilevel"/>
    <w:tmpl w:val="267A6D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1E5F8D"/>
    <w:multiLevelType w:val="hybridMultilevel"/>
    <w:tmpl w:val="BFB631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C2471C"/>
    <w:multiLevelType w:val="hybridMultilevel"/>
    <w:tmpl w:val="2C2ACF20"/>
    <w:lvl w:ilvl="0" w:tplc="ADA0673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8C"/>
    <w:rsid w:val="000A776E"/>
    <w:rsid w:val="001359C9"/>
    <w:rsid w:val="001D2585"/>
    <w:rsid w:val="00270802"/>
    <w:rsid w:val="0043708C"/>
    <w:rsid w:val="00493947"/>
    <w:rsid w:val="004C280B"/>
    <w:rsid w:val="00501AC0"/>
    <w:rsid w:val="005438F1"/>
    <w:rsid w:val="00560F72"/>
    <w:rsid w:val="006145BE"/>
    <w:rsid w:val="006E4B83"/>
    <w:rsid w:val="006F146C"/>
    <w:rsid w:val="00743DA7"/>
    <w:rsid w:val="00795A97"/>
    <w:rsid w:val="007E1931"/>
    <w:rsid w:val="007E55E8"/>
    <w:rsid w:val="008B2479"/>
    <w:rsid w:val="00AE0F96"/>
    <w:rsid w:val="00B7481B"/>
    <w:rsid w:val="00B8232F"/>
    <w:rsid w:val="00BE1278"/>
    <w:rsid w:val="00CA64DC"/>
    <w:rsid w:val="00D5353E"/>
    <w:rsid w:val="00DC0E72"/>
    <w:rsid w:val="00DD2960"/>
    <w:rsid w:val="00E94C9D"/>
    <w:rsid w:val="00EB0B5C"/>
    <w:rsid w:val="00ED0AD5"/>
    <w:rsid w:val="00F74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1D087-769D-4364-B92C-7464B2BE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9C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59C9"/>
    <w:pPr>
      <w:ind w:left="720"/>
      <w:contextualSpacing/>
    </w:pPr>
  </w:style>
  <w:style w:type="paragraph" w:styleId="GvdeMetni">
    <w:name w:val="Body Text"/>
    <w:basedOn w:val="Normal"/>
    <w:link w:val="GvdeMetniChar"/>
    <w:unhideWhenUsed/>
    <w:rsid w:val="00AE0F96"/>
    <w:rPr>
      <w:sz w:val="96"/>
      <w:szCs w:val="20"/>
    </w:rPr>
  </w:style>
  <w:style w:type="character" w:customStyle="1" w:styleId="GvdeMetniChar">
    <w:name w:val="Gövde Metni Char"/>
    <w:basedOn w:val="VarsaylanParagrafYazTipi"/>
    <w:link w:val="GvdeMetni"/>
    <w:rsid w:val="00AE0F96"/>
    <w:rPr>
      <w:rFonts w:ascii="Times New Roman" w:eastAsia="Times New Roman" w:hAnsi="Times New Roman" w:cs="Times New Roman"/>
      <w:sz w:val="96"/>
      <w:szCs w:val="20"/>
      <w:lang w:eastAsia="tr-TR"/>
    </w:rPr>
  </w:style>
  <w:style w:type="paragraph" w:styleId="stBilgi">
    <w:name w:val="header"/>
    <w:basedOn w:val="Normal"/>
    <w:link w:val="stBilgiChar"/>
    <w:uiPriority w:val="99"/>
    <w:unhideWhenUsed/>
    <w:rsid w:val="00560F72"/>
    <w:pPr>
      <w:tabs>
        <w:tab w:val="center" w:pos="4536"/>
        <w:tab w:val="right" w:pos="9072"/>
      </w:tabs>
    </w:pPr>
  </w:style>
  <w:style w:type="character" w:customStyle="1" w:styleId="stBilgiChar">
    <w:name w:val="Üst Bilgi Char"/>
    <w:basedOn w:val="VarsaylanParagrafYazTipi"/>
    <w:link w:val="stBilgi"/>
    <w:uiPriority w:val="99"/>
    <w:rsid w:val="00560F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0F72"/>
    <w:pPr>
      <w:tabs>
        <w:tab w:val="center" w:pos="4536"/>
        <w:tab w:val="right" w:pos="9072"/>
      </w:tabs>
    </w:pPr>
  </w:style>
  <w:style w:type="character" w:customStyle="1" w:styleId="AltBilgiChar">
    <w:name w:val="Alt Bilgi Char"/>
    <w:basedOn w:val="VarsaylanParagrafYazTipi"/>
    <w:link w:val="AltBilgi"/>
    <w:uiPriority w:val="99"/>
    <w:rsid w:val="00560F72"/>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43D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07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2024 Yılı Bütçe Giderleri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2024 Yılı Başlangıç Ödeneği (1000)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Personel Giderleri</c:v>
                </c:pt>
                <c:pt idx="1">
                  <c:v>Sosyal Güvenlik Kurumlarına Devlet Primi Giderleri</c:v>
                </c:pt>
                <c:pt idx="2">
                  <c:v>Mal ve Hizmet Alım Giderleri</c:v>
                </c:pt>
                <c:pt idx="3">
                  <c:v>Cari Transferler</c:v>
                </c:pt>
                <c:pt idx="4">
                  <c:v>Sermaye Giderleri</c:v>
                </c:pt>
              </c:strCache>
            </c:strRef>
          </c:cat>
          <c:val>
            <c:numRef>
              <c:f>Sayfa1!$B$2:$B$6</c:f>
              <c:numCache>
                <c:formatCode>General</c:formatCode>
                <c:ptCount val="5"/>
                <c:pt idx="0">
                  <c:v>561764</c:v>
                </c:pt>
                <c:pt idx="1">
                  <c:v>52247</c:v>
                </c:pt>
                <c:pt idx="2">
                  <c:v>34054</c:v>
                </c:pt>
                <c:pt idx="3">
                  <c:v>128289</c:v>
                </c:pt>
                <c:pt idx="4">
                  <c:v>8321</c:v>
                </c:pt>
              </c:numCache>
            </c:numRef>
          </c:val>
          <c:extLst>
            <c:ext xmlns:c16="http://schemas.microsoft.com/office/drawing/2014/chart" uri="{C3380CC4-5D6E-409C-BE32-E72D297353CC}">
              <c16:uniqueId val="{00000000-58A5-4346-A24B-F48ABCC1A4E4}"/>
            </c:ext>
          </c:extLst>
        </c:ser>
        <c:ser>
          <c:idx val="1"/>
          <c:order val="1"/>
          <c:tx>
            <c:strRef>
              <c:f>Sayfa1!$C$1</c:f>
              <c:strCache>
                <c:ptCount val="1"/>
                <c:pt idx="0">
                  <c:v>2023 Yılı Başlangıç Ödeneği (1000)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Personel Giderleri</c:v>
                </c:pt>
                <c:pt idx="1">
                  <c:v>Sosyal Güvenlik Kurumlarına Devlet Primi Giderleri</c:v>
                </c:pt>
                <c:pt idx="2">
                  <c:v>Mal ve Hizmet Alım Giderleri</c:v>
                </c:pt>
                <c:pt idx="3">
                  <c:v>Cari Transferler</c:v>
                </c:pt>
                <c:pt idx="4">
                  <c:v>Sermaye Giderleri</c:v>
                </c:pt>
              </c:strCache>
            </c:strRef>
          </c:cat>
          <c:val>
            <c:numRef>
              <c:f>Sayfa1!$C$2:$C$6</c:f>
              <c:numCache>
                <c:formatCode>General</c:formatCode>
                <c:ptCount val="5"/>
                <c:pt idx="0">
                  <c:v>203156</c:v>
                </c:pt>
                <c:pt idx="1">
                  <c:v>25569</c:v>
                </c:pt>
                <c:pt idx="2">
                  <c:v>18736</c:v>
                </c:pt>
                <c:pt idx="3">
                  <c:v>68607</c:v>
                </c:pt>
                <c:pt idx="4">
                  <c:v>4623</c:v>
                </c:pt>
              </c:numCache>
            </c:numRef>
          </c:val>
          <c:extLst>
            <c:ext xmlns:c16="http://schemas.microsoft.com/office/drawing/2014/chart" uri="{C3380CC4-5D6E-409C-BE32-E72D297353CC}">
              <c16:uniqueId val="{00000001-58A5-4346-A24B-F48ABCC1A4E4}"/>
            </c:ext>
          </c:extLst>
        </c:ser>
        <c:dLbls>
          <c:dLblPos val="outEnd"/>
          <c:showLegendKey val="0"/>
          <c:showVal val="1"/>
          <c:showCatName val="0"/>
          <c:showSerName val="0"/>
          <c:showPercent val="0"/>
          <c:showBubbleSize val="0"/>
        </c:dLbls>
        <c:gapWidth val="100"/>
        <c:overlap val="-24"/>
        <c:axId val="318783944"/>
        <c:axId val="318781976"/>
      </c:barChart>
      <c:catAx>
        <c:axId val="318783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18781976"/>
        <c:crosses val="autoZero"/>
        <c:auto val="1"/>
        <c:lblAlgn val="ctr"/>
        <c:lblOffset val="100"/>
        <c:noMultiLvlLbl val="0"/>
      </c:catAx>
      <c:valAx>
        <c:axId val="318781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18783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2023 Yılı Başlangıç Ödeneği (1.000 TL)</c:v>
                </c:pt>
              </c:strCache>
            </c:strRef>
          </c:tx>
          <c:spPr>
            <a:solidFill>
              <a:srgbClr val="73B149"/>
            </a:solidFill>
            <a:ln w="25401">
              <a:noFill/>
            </a:ln>
          </c:spPr>
          <c:invertIfNegative val="0"/>
          <c:dLbls>
            <c:dLbl>
              <c:idx val="0"/>
              <c:layout>
                <c:manualLayout>
                  <c:x val="-5.0988567407151677E-4"/>
                  <c:y val="-1.812701564797076E-2"/>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EFAD-4172-A9A7-A534FDFBCEFD}"/>
                </c:ext>
              </c:extLst>
            </c:dLbl>
            <c:dLbl>
              <c:idx val="1"/>
              <c:layout>
                <c:manualLayout>
                  <c:x val="6.3204578348448432E-3"/>
                  <c:y val="-7.93836254339182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AD-4172-A9A7-A534FDFBCEFD}"/>
                </c:ext>
              </c:extLst>
            </c:dLbl>
            <c:dLbl>
              <c:idx val="3"/>
              <c:layout>
                <c:manualLayout>
                  <c:x val="-5.02786224234609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AD-4172-A9A7-A534FDFBCEFD}"/>
                </c:ext>
              </c:extLst>
            </c:dLbl>
            <c:dLbl>
              <c:idx val="4"/>
              <c:layout>
                <c:manualLayout>
                  <c:x val="-7.42538717230329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AD-4172-A9A7-A534FDFBCEFD}"/>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203156</c:v>
                </c:pt>
                <c:pt idx="1">
                  <c:v>25569</c:v>
                </c:pt>
                <c:pt idx="2">
                  <c:v>18736</c:v>
                </c:pt>
                <c:pt idx="3">
                  <c:v>66607</c:v>
                </c:pt>
                <c:pt idx="4">
                  <c:v>4623</c:v>
                </c:pt>
              </c:numCache>
            </c:numRef>
          </c:val>
          <c:extLst>
            <c:ext xmlns:c16="http://schemas.microsoft.com/office/drawing/2014/chart" uri="{C3380CC4-5D6E-409C-BE32-E72D297353CC}">
              <c16:uniqueId val="{00000004-EFAD-4172-A9A7-A534FDFBCEFD}"/>
            </c:ext>
          </c:extLst>
        </c:ser>
        <c:ser>
          <c:idx val="1"/>
          <c:order val="1"/>
          <c:tx>
            <c:strRef>
              <c:f>Sayfa1!$C$1</c:f>
              <c:strCache>
                <c:ptCount val="1"/>
                <c:pt idx="0">
                  <c:v>2023 Yılı İlk Altı Aylık Bütçe Gerçekleşme (1.000 TL)</c:v>
                </c:pt>
              </c:strCache>
            </c:strRef>
          </c:tx>
          <c:spPr>
            <a:solidFill>
              <a:srgbClr val="FABE00"/>
            </a:solidFill>
            <a:ln w="25401">
              <a:noFill/>
            </a:ln>
          </c:spPr>
          <c:invertIfNegative val="0"/>
          <c:dLbls>
            <c:dLbl>
              <c:idx val="0"/>
              <c:layout>
                <c:manualLayout>
                  <c:x val="1.4510673518255371E-2"/>
                  <c:y val="-8.17450604598178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AD-4172-A9A7-A534FDFBCEFD}"/>
                </c:ext>
              </c:extLst>
            </c:dLbl>
            <c:dLbl>
              <c:idx val="1"/>
              <c:layout>
                <c:manualLayout>
                  <c:x val="5.1344425117180754E-3"/>
                  <c:y val="1.2084574472179248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EFAD-4172-A9A7-A534FDFBCEFD}"/>
                </c:ext>
              </c:extLst>
            </c:dLbl>
            <c:dLbl>
              <c:idx val="2"/>
              <c:layout>
                <c:manualLayout>
                  <c:x val="2.9967999362642907E-2"/>
                  <c:y val="3.313398141947799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9606520517144462E-2"/>
                      <c:h val="4.6862324027678356E-2"/>
                    </c:manualLayout>
                  </c15:layout>
                </c:ext>
                <c:ext xmlns:c16="http://schemas.microsoft.com/office/drawing/2014/chart" uri="{C3380CC4-5D6E-409C-BE32-E72D297353CC}">
                  <c16:uniqueId val="{00000007-EFAD-4172-A9A7-A534FDFBCEFD}"/>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140085</c:v>
                </c:pt>
                <c:pt idx="1">
                  <c:v>14720</c:v>
                </c:pt>
                <c:pt idx="2">
                  <c:v>25939</c:v>
                </c:pt>
                <c:pt idx="3">
                  <c:v>175572</c:v>
                </c:pt>
                <c:pt idx="4">
                  <c:v>3414</c:v>
                </c:pt>
              </c:numCache>
            </c:numRef>
          </c:val>
          <c:extLst>
            <c:ext xmlns:c16="http://schemas.microsoft.com/office/drawing/2014/chart" uri="{C3380CC4-5D6E-409C-BE32-E72D297353CC}">
              <c16:uniqueId val="{00000008-EFAD-4172-A9A7-A534FDFBCEFD}"/>
            </c:ext>
          </c:extLst>
        </c:ser>
        <c:dLbls>
          <c:showLegendKey val="0"/>
          <c:showVal val="0"/>
          <c:showCatName val="0"/>
          <c:showSerName val="0"/>
          <c:showPercent val="0"/>
          <c:showBubbleSize val="0"/>
        </c:dLbls>
        <c:gapWidth val="219"/>
        <c:overlap val="-27"/>
        <c:axId val="487105056"/>
        <c:axId val="487106624"/>
      </c:barChart>
      <c:catAx>
        <c:axId val="4871050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624"/>
        <c:crosses val="autoZero"/>
        <c:auto val="1"/>
        <c:lblAlgn val="ctr"/>
        <c:lblOffset val="100"/>
        <c:noMultiLvlLbl val="0"/>
      </c:catAx>
      <c:valAx>
        <c:axId val="487106624"/>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0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2024 Yılı Başlangıç Ödeneği (1.000 TL)</c:v>
                </c:pt>
              </c:strCache>
            </c:strRef>
          </c:tx>
          <c:spPr>
            <a:solidFill>
              <a:srgbClr val="5B9BD5"/>
            </a:solidFill>
            <a:ln w="25401">
              <a:noFill/>
            </a:ln>
          </c:spPr>
          <c:invertIfNegative val="0"/>
          <c:dLbls>
            <c:dLbl>
              <c:idx val="1"/>
              <c:layout>
                <c:manualLayout>
                  <c:x val="-2.6308684432996034E-3"/>
                  <c:y val="-7.1683759716710806E-17"/>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F203-4CAE-9A2C-4E68E46C67C4}"/>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03-4CAE-9A2C-4E68E46C67C4}"/>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561764</c:v>
                </c:pt>
                <c:pt idx="1">
                  <c:v>52247</c:v>
                </c:pt>
                <c:pt idx="2">
                  <c:v>34054</c:v>
                </c:pt>
                <c:pt idx="3">
                  <c:v>128289</c:v>
                </c:pt>
                <c:pt idx="4">
                  <c:v>8321</c:v>
                </c:pt>
              </c:numCache>
            </c:numRef>
          </c:val>
          <c:extLst>
            <c:ext xmlns:c16="http://schemas.microsoft.com/office/drawing/2014/chart" uri="{C3380CC4-5D6E-409C-BE32-E72D297353CC}">
              <c16:uniqueId val="{00000002-F203-4CAE-9A2C-4E68E46C67C4}"/>
            </c:ext>
          </c:extLst>
        </c:ser>
        <c:ser>
          <c:idx val="1"/>
          <c:order val="1"/>
          <c:tx>
            <c:strRef>
              <c:f>Sayfa1!$C$1</c:f>
              <c:strCache>
                <c:ptCount val="1"/>
                <c:pt idx="0">
                  <c:v>2024 Yılı İlk Altı Aylık Harcama (1.000 TL)</c:v>
                </c:pt>
              </c:strCache>
            </c:strRef>
          </c:tx>
          <c:spPr>
            <a:solidFill>
              <a:srgbClr val="FABE00"/>
            </a:solidFill>
            <a:ln w="25401">
              <a:noFill/>
            </a:ln>
          </c:spPr>
          <c:invertIfNegative val="0"/>
          <c:dLbls>
            <c:dLbl>
              <c:idx val="0"/>
              <c:layout>
                <c:manualLayout>
                  <c:x val="7.892782373535496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03-4CAE-9A2C-4E68E46C67C4}"/>
                </c:ext>
              </c:extLst>
            </c:dLbl>
            <c:dLbl>
              <c:idx val="1"/>
              <c:layout>
                <c:manualLayout>
                  <c:x val="9.5037024250551744E-3"/>
                  <c:y val="1.2202800163176084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F203-4CAE-9A2C-4E68E46C67C4}"/>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03-4CAE-9A2C-4E68E46C67C4}"/>
                </c:ext>
              </c:extLst>
            </c:dLbl>
            <c:dLbl>
              <c:idx val="3"/>
              <c:layout>
                <c:manualLayout>
                  <c:x val="-8.2442367836082252E-17"/>
                  <c:y val="1.5640273704789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03-4CAE-9A2C-4E68E46C67C4}"/>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344961</c:v>
                </c:pt>
                <c:pt idx="1">
                  <c:v>27221</c:v>
                </c:pt>
                <c:pt idx="2">
                  <c:v>56617</c:v>
                </c:pt>
                <c:pt idx="3">
                  <c:v>180540</c:v>
                </c:pt>
                <c:pt idx="4">
                  <c:v>11948</c:v>
                </c:pt>
              </c:numCache>
            </c:numRef>
          </c:val>
          <c:extLst>
            <c:ext xmlns:c16="http://schemas.microsoft.com/office/drawing/2014/chart" uri="{C3380CC4-5D6E-409C-BE32-E72D297353CC}">
              <c16:uniqueId val="{00000007-F203-4CAE-9A2C-4E68E46C67C4}"/>
            </c:ext>
          </c:extLst>
        </c:ser>
        <c:dLbls>
          <c:showLegendKey val="0"/>
          <c:showVal val="0"/>
          <c:showCatName val="0"/>
          <c:showSerName val="0"/>
          <c:showPercent val="0"/>
          <c:showBubbleSize val="0"/>
        </c:dLbls>
        <c:gapWidth val="219"/>
        <c:overlap val="-27"/>
        <c:axId val="487106232"/>
        <c:axId val="136645240"/>
      </c:barChart>
      <c:catAx>
        <c:axId val="487106232"/>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240"/>
        <c:crosses val="autoZero"/>
        <c:auto val="1"/>
        <c:lblAlgn val="ctr"/>
        <c:lblOffset val="100"/>
        <c:noMultiLvlLbl val="0"/>
      </c:catAx>
      <c:valAx>
        <c:axId val="136645240"/>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232"/>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2024 Yılı Ocak-Haziran Dönemi Harcamaları</c:v>
                </c:pt>
              </c:strCache>
            </c:strRef>
          </c:tx>
          <c:spPr>
            <a:solidFill>
              <a:srgbClr val="ED7C2F"/>
            </a:solidFill>
            <a:ln w="25401">
              <a:noFill/>
            </a:ln>
          </c:spPr>
          <c:invertIfNegative val="0"/>
          <c:dLbls>
            <c:dLbl>
              <c:idx val="1"/>
              <c:layout>
                <c:manualLayout>
                  <c:x val="-2.8433208074960274E-3"/>
                  <c:y val="-4.02829411719443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64-4445-BC01-8BE739A8531F}"/>
                </c:ext>
              </c:extLst>
            </c:dLbl>
            <c:dLbl>
              <c:idx val="2"/>
              <c:layout>
                <c:manualLayout>
                  <c:x val="-2.6733589161388551E-3"/>
                  <c:y val="-8.5288752395686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64-4445-BC01-8BE739A8531F}"/>
                </c:ext>
              </c:extLst>
            </c:dLbl>
            <c:dLbl>
              <c:idx val="3"/>
              <c:layout>
                <c:manualLayout>
                  <c:x val="-1.8518587368821813E-2"/>
                  <c:y val="7.82013685239491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64-4445-BC01-8BE739A8531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344961</c:v>
                </c:pt>
                <c:pt idx="1">
                  <c:v>27221</c:v>
                </c:pt>
                <c:pt idx="2">
                  <c:v>56617</c:v>
                </c:pt>
                <c:pt idx="3">
                  <c:v>180540</c:v>
                </c:pt>
                <c:pt idx="4">
                  <c:v>11948</c:v>
                </c:pt>
              </c:numCache>
            </c:numRef>
          </c:val>
          <c:extLst>
            <c:ext xmlns:c16="http://schemas.microsoft.com/office/drawing/2014/chart" uri="{C3380CC4-5D6E-409C-BE32-E72D297353CC}">
              <c16:uniqueId val="{00000003-2364-4445-BC01-8BE739A8531F}"/>
            </c:ext>
          </c:extLst>
        </c:ser>
        <c:ser>
          <c:idx val="1"/>
          <c:order val="1"/>
          <c:tx>
            <c:strRef>
              <c:f>Sayfa1!$C$1</c:f>
              <c:strCache>
                <c:ptCount val="1"/>
                <c:pt idx="0">
                  <c:v>2023 Yılı Ocak-Haziran Dönemi Harcamaları</c:v>
                </c:pt>
              </c:strCache>
            </c:strRef>
          </c:tx>
          <c:spPr>
            <a:solidFill>
              <a:srgbClr val="73B149"/>
            </a:solidFill>
            <a:ln w="25401">
              <a:noFill/>
            </a:ln>
          </c:spPr>
          <c:invertIfNegative val="0"/>
          <c:dLbls>
            <c:dLbl>
              <c:idx val="0"/>
              <c:layout>
                <c:manualLayout>
                  <c:x val="1.6631656287483459E-2"/>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64-4445-BC01-8BE739A8531F}"/>
                </c:ext>
              </c:extLst>
            </c:dLbl>
            <c:dLbl>
              <c:idx val="1"/>
              <c:layout>
                <c:manualLayout>
                  <c:x val="4.9218131038847391E-3"/>
                  <c:y val="7.9383625433916104E-3"/>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2364-4445-BC01-8BE739A8531F}"/>
                </c:ext>
              </c:extLst>
            </c:dLbl>
            <c:dLbl>
              <c:idx val="2"/>
              <c:layout>
                <c:manualLayout>
                  <c:x val="2.8590776911738497E-3"/>
                  <c:y val="7.7019111613981523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2364-4445-BC01-8BE739A8531F}"/>
                </c:ext>
              </c:extLst>
            </c:dLbl>
            <c:dLbl>
              <c:idx val="3"/>
              <c:layout>
                <c:manualLayout>
                  <c:x val="1.5739179314221391E-2"/>
                  <c:y val="-1.9550342130987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64-4445-BC01-8BE739A8531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140085</c:v>
                </c:pt>
                <c:pt idx="1">
                  <c:v>14720</c:v>
                </c:pt>
                <c:pt idx="2">
                  <c:v>25938</c:v>
                </c:pt>
                <c:pt idx="3">
                  <c:v>175572</c:v>
                </c:pt>
                <c:pt idx="4">
                  <c:v>3414</c:v>
                </c:pt>
              </c:numCache>
            </c:numRef>
          </c:val>
          <c:extLst>
            <c:ext xmlns:c16="http://schemas.microsoft.com/office/drawing/2014/chart" uri="{C3380CC4-5D6E-409C-BE32-E72D297353CC}">
              <c16:uniqueId val="{00000008-2364-4445-BC01-8BE739A8531F}"/>
            </c:ext>
          </c:extLst>
        </c:ser>
        <c:dLbls>
          <c:showLegendKey val="0"/>
          <c:showVal val="0"/>
          <c:showCatName val="0"/>
          <c:showSerName val="0"/>
          <c:showPercent val="0"/>
          <c:showBubbleSize val="0"/>
        </c:dLbls>
        <c:gapWidth val="219"/>
        <c:overlap val="-27"/>
        <c:axId val="136643280"/>
        <c:axId val="136645632"/>
      </c:barChart>
      <c:catAx>
        <c:axId val="1366432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632"/>
        <c:crosses val="autoZero"/>
        <c:auto val="1"/>
        <c:lblAlgn val="ctr"/>
        <c:lblOffset val="100"/>
        <c:noMultiLvlLbl val="0"/>
      </c:catAx>
      <c:valAx>
        <c:axId val="136645632"/>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328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3d8dcbceea502e84a9cbce2669b1a9f2">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332bb3d772eeca4f001db44df72cb3d9"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62717D-8201-421A-AE15-CFEDAFC8A41E}"/>
</file>

<file path=customXml/itemProps2.xml><?xml version="1.0" encoding="utf-8"?>
<ds:datastoreItem xmlns:ds="http://schemas.openxmlformats.org/officeDocument/2006/customXml" ds:itemID="{351119B7-7137-4EC7-B384-2CC79B1708A7}"/>
</file>

<file path=customXml/itemProps3.xml><?xml version="1.0" encoding="utf-8"?>
<ds:datastoreItem xmlns:ds="http://schemas.openxmlformats.org/officeDocument/2006/customXml" ds:itemID="{015FA80A-6C15-4BC2-BC94-F4331324FC8E}"/>
</file>

<file path=docProps/app.xml><?xml version="1.0" encoding="utf-8"?>
<Properties xmlns="http://schemas.openxmlformats.org/officeDocument/2006/extended-properties" xmlns:vt="http://schemas.openxmlformats.org/officeDocument/2006/docPropsVTypes">
  <Template>Normal</Template>
  <TotalTime>0</TotalTime>
  <Pages>8</Pages>
  <Words>1370</Words>
  <Characters>7809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DEMİRHAN</dc:creator>
  <cp:keywords/>
  <dc:description/>
  <cp:lastModifiedBy>ZERRIN EKIZ</cp:lastModifiedBy>
  <cp:revision>2</cp:revision>
  <dcterms:created xsi:type="dcterms:W3CDTF">2024-07-31T08:44:00Z</dcterms:created>
  <dcterms:modified xsi:type="dcterms:W3CDTF">2024-07-31T08:44:00Z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